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18"/>
          <w:szCs w:val="18"/>
          <w:color w:val="auto"/>
        </w:rPr>
        <w:t>Page 1 of 12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186690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spacing w:after="0" w:line="366"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2"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SCHEDULE 13G</w:t>
      </w:r>
    </w:p>
    <w:p>
      <w:pPr>
        <w:spacing w:after="0" w:line="23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Under the Securities Exchange Act of 1934</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 xml:space="preserve">(Amendment No. _ </w:t>
      </w:r>
      <w:r>
        <w:rPr>
          <w:rFonts w:ascii="Arial" w:cs="Arial" w:eastAsia="Arial" w:hAnsi="Arial"/>
          <w:sz w:val="18"/>
          <w:szCs w:val="18"/>
          <w:u w:val="single" w:color="auto"/>
          <w:color w:val="auto"/>
        </w:rPr>
        <w:t>19</w:t>
      </w:r>
      <w:r>
        <w:rPr>
          <w:rFonts w:ascii="Arial" w:cs="Arial" w:eastAsia="Arial" w:hAnsi="Arial"/>
          <w:sz w:val="18"/>
          <w:szCs w:val="18"/>
          <w:b w:val="1"/>
          <w:bCs w:val="1"/>
          <w:color w:val="auto"/>
        </w:rPr>
        <w:t>__ )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4149725</wp:posOffset>
            </wp:positionH>
            <wp:positionV relativeFrom="paragraph">
              <wp:posOffset>-7620</wp:posOffset>
            </wp:positionV>
            <wp:extent cx="28575"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28575" cy="8890"/>
                    </a:xfrm>
                    <a:prstGeom prst="rect">
                      <a:avLst/>
                    </a:prstGeom>
                    <a:noFill/>
                  </pic:spPr>
                </pic:pic>
              </a:graphicData>
            </a:graphic>
          </wp:anchor>
        </w:drawing>
      </w:r>
    </w:p>
    <w:p>
      <w:pPr>
        <w:spacing w:after="0" w:line="20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20955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12"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P16994132</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(CUSIP Number)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2543810</wp:posOffset>
            </wp:positionH>
            <wp:positionV relativeFrom="paragraph">
              <wp:posOffset>-130810</wp:posOffset>
            </wp:positionV>
            <wp:extent cx="216979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169795" cy="8890"/>
                    </a:xfrm>
                    <a:prstGeom prst="rect">
                      <a:avLst/>
                    </a:prstGeom>
                    <a:noFill/>
                  </pic:spPr>
                </pic:pic>
              </a:graphicData>
            </a:graphic>
          </wp:anchor>
        </w:drawing>
      </w:r>
    </w:p>
    <w:p>
      <w:pPr>
        <w:spacing w:after="0" w:line="20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December 31, 2019</w:t>
      </w:r>
    </w:p>
    <w:p>
      <w:pPr>
        <w:spacing w:after="0" w:line="2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660" w:hanging="328"/>
        <w:spacing w:after="0"/>
        <w:tabs>
          <w:tab w:leader="none" w:pos="66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 (b)</w:t>
      </w:r>
    </w:p>
    <w:p>
      <w:pPr>
        <w:spacing w:after="0" w:line="225" w:lineRule="exact"/>
        <w:rPr>
          <w:sz w:val="24"/>
          <w:szCs w:val="24"/>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25" w:lineRule="exact"/>
        <w:rPr>
          <w:rFonts w:ascii="MS PGothic" w:cs="MS PGothic" w:eastAsia="MS PGothic" w:hAnsi="MS PGothic"/>
          <w:sz w:val="18"/>
          <w:szCs w:val="18"/>
          <w:color w:val="auto"/>
        </w:rPr>
      </w:pPr>
    </w:p>
    <w:p>
      <w:pPr>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ind w:right="20"/>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379095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49" w:right="2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3510"/>
              <w:spacing w:after="0"/>
              <w:rPr>
                <w:sz w:val="20"/>
                <w:szCs w:val="20"/>
                <w:color w:val="auto"/>
              </w:rPr>
            </w:pPr>
            <w:r>
              <w:rPr>
                <w:rFonts w:ascii="Arial" w:cs="Arial" w:eastAsia="Arial" w:hAnsi="Arial"/>
                <w:sz w:val="18"/>
                <w:szCs w:val="18"/>
                <w:color w:val="auto"/>
                <w:w w:val="88"/>
              </w:rPr>
              <w:t>Brandes Investment Partners, L.P.</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730"/>
              <w:spacing w:after="0"/>
              <w:rPr>
                <w:sz w:val="20"/>
                <w:szCs w:val="20"/>
                <w:color w:val="auto"/>
              </w:rPr>
            </w:pPr>
            <w:r>
              <w:rPr>
                <w:rFonts w:ascii="Arial" w:cs="Arial" w:eastAsia="Arial" w:hAnsi="Arial"/>
                <w:sz w:val="18"/>
                <w:szCs w:val="18"/>
                <w:color w:val="auto"/>
              </w:rPr>
              <w:t>33-0704072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14" w:lineRule="exact"/>
        <w:rPr>
          <w:sz w:val="20"/>
          <w:szCs w:val="20"/>
          <w:color w:val="auto"/>
        </w:rPr>
      </w:pPr>
    </w:p>
    <w:p>
      <w:pPr>
        <w:ind w:left="1160" w:hanging="372"/>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60" w:hanging="372"/>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80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2080" w:type="dxa"/>
            <w:vAlign w:val="bottom"/>
          </w:tcPr>
          <w:p>
            <w:pPr>
              <w:ind w:left="480"/>
              <w:spacing w:after="0"/>
              <w:rPr>
                <w:sz w:val="20"/>
                <w:szCs w:val="20"/>
                <w:color w:val="auto"/>
              </w:rPr>
            </w:pPr>
            <w:r>
              <w:rPr>
                <w:rFonts w:ascii="Arial" w:cs="Arial" w:eastAsia="Arial" w:hAnsi="Arial"/>
                <w:sz w:val="18"/>
                <w:szCs w:val="18"/>
                <w:color w:val="auto"/>
              </w:rPr>
              <w:t>Delaware</w:t>
            </w:r>
          </w:p>
        </w:tc>
        <w:tc>
          <w:tcPr>
            <w:tcW w:w="4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8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8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80" w:type="dxa"/>
            <w:vAlign w:val="bottom"/>
          </w:tcPr>
          <w:p>
            <w:pPr>
              <w:ind w:left="480"/>
              <w:spacing w:after="0"/>
              <w:rPr>
                <w:sz w:val="20"/>
                <w:szCs w:val="20"/>
                <w:color w:val="auto"/>
              </w:rPr>
            </w:pPr>
            <w:r>
              <w:rPr>
                <w:rFonts w:ascii="Arial" w:cs="Arial" w:eastAsia="Arial" w:hAnsi="Arial"/>
                <w:sz w:val="18"/>
                <w:szCs w:val="18"/>
                <w:color w:val="auto"/>
              </w:rPr>
              <w:t>4,669,718 ORD</w:t>
            </w: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8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8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80" w:type="dxa"/>
            <w:vAlign w:val="bottom"/>
            <w:vMerge w:val="restart"/>
          </w:tcPr>
          <w:p>
            <w:pPr>
              <w:ind w:left="480"/>
              <w:spacing w:after="0"/>
              <w:rPr>
                <w:sz w:val="20"/>
                <w:szCs w:val="20"/>
                <w:color w:val="auto"/>
              </w:rPr>
            </w:pPr>
            <w:r>
              <w:rPr>
                <w:rFonts w:ascii="Arial" w:cs="Arial" w:eastAsia="Arial" w:hAnsi="Arial"/>
                <w:sz w:val="18"/>
                <w:szCs w:val="18"/>
                <w:color w:val="auto"/>
              </w:rPr>
              <w:t>4,916,428 ORD</w:t>
            </w: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320" w:type="dxa"/>
            <w:vAlign w:val="bottom"/>
            <w:gridSpan w:val="2"/>
            <w:vMerge w:val="continue"/>
          </w:tcPr>
          <w:p>
            <w:pPr>
              <w:spacing w:after="0"/>
              <w:rPr>
                <w:sz w:val="24"/>
                <w:szCs w:val="24"/>
                <w:color w:val="auto"/>
              </w:rPr>
            </w:pPr>
          </w:p>
        </w:tc>
        <w:tc>
          <w:tcPr>
            <w:tcW w:w="2480" w:type="dxa"/>
            <w:vAlign w:val="bottom"/>
            <w:vMerge w:val="continue"/>
          </w:tcPr>
          <w:p>
            <w:pPr>
              <w:spacing w:after="0"/>
              <w:rPr>
                <w:sz w:val="24"/>
                <w:szCs w:val="24"/>
                <w:color w:val="auto"/>
              </w:rPr>
            </w:pPr>
          </w:p>
        </w:tc>
        <w:tc>
          <w:tcPr>
            <w:tcW w:w="2080" w:type="dxa"/>
            <w:vAlign w:val="bottom"/>
            <w:vMerge w:val="continue"/>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260" w:type="dxa"/>
            <w:vAlign w:val="bottom"/>
            <w:tcBorders>
              <w:bottom w:val="single" w:sz="8" w:color="auto"/>
            </w:tcBorders>
            <w:gridSpan w:val="3"/>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88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440" w:type="dxa"/>
            <w:vAlign w:val="bottom"/>
          </w:tcPr>
          <w:p>
            <w:pPr>
              <w:ind w:left="460"/>
              <w:spacing w:after="0"/>
              <w:rPr>
                <w:sz w:val="20"/>
                <w:szCs w:val="20"/>
                <w:color w:val="auto"/>
              </w:rPr>
            </w:pPr>
            <w:r>
              <w:rPr>
                <w:rFonts w:ascii="Arial" w:cs="Arial" w:eastAsia="Arial" w:hAnsi="Arial"/>
                <w:sz w:val="18"/>
                <w:szCs w:val="18"/>
                <w:color w:val="auto"/>
              </w:rPr>
              <w:t>4,916,428 ORD</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60" w:hanging="462"/>
        <w:spacing w:after="0" w:line="207" w:lineRule="exact"/>
        <w:tabs>
          <w:tab w:leader="none" w:pos="1160" w:val="left"/>
        </w:tabs>
        <w:numPr>
          <w:ilvl w:val="0"/>
          <w:numId w:val="4"/>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2"/>
              </w:rPr>
              <w:t>Percent of Class Represented by Amount in Row (9)</w:t>
            </w:r>
          </w:p>
        </w:tc>
        <w:tc>
          <w:tcPr>
            <w:tcW w:w="6380" w:type="dxa"/>
            <w:vAlign w:val="bottom"/>
            <w:tcBorders>
              <w:bottom w:val="single" w:sz="8" w:color="auto"/>
            </w:tcBorders>
          </w:tcPr>
          <w:p>
            <w:pPr>
              <w:jc w:val="right"/>
              <w:ind w:right="5010"/>
              <w:spacing w:after="0"/>
              <w:rPr>
                <w:sz w:val="20"/>
                <w:szCs w:val="20"/>
                <w:color w:val="auto"/>
              </w:rPr>
            </w:pPr>
            <w:r>
              <w:rPr>
                <w:rFonts w:ascii="Arial" w:cs="Arial" w:eastAsia="Arial" w:hAnsi="Arial"/>
                <w:sz w:val="18"/>
                <w:szCs w:val="18"/>
                <w:color w:val="auto"/>
              </w:rPr>
              <w:t>12.41 %</w:t>
            </w:r>
          </w:p>
        </w:tc>
      </w:tr>
      <w:tr>
        <w:trPr>
          <w:trHeight w:val="426"/>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380" w:type="dxa"/>
            <w:vAlign w:val="bottom"/>
            <w:tcBorders>
              <w:bottom w:val="single" w:sz="8" w:color="auto"/>
            </w:tcBorders>
          </w:tcPr>
          <w:p>
            <w:pPr>
              <w:jc w:val="right"/>
              <w:ind w:right="5670"/>
              <w:spacing w:after="0"/>
              <w:rPr>
                <w:sz w:val="20"/>
                <w:szCs w:val="20"/>
                <w:color w:val="auto"/>
              </w:rPr>
            </w:pPr>
            <w:r>
              <w:rPr>
                <w:rFonts w:ascii="Arial" w:cs="Arial" w:eastAsia="Arial" w:hAnsi="Arial"/>
                <w:sz w:val="18"/>
                <w:szCs w:val="18"/>
                <w:color w:val="auto"/>
              </w:rPr>
              <w:t>IA, PN</w:t>
            </w:r>
          </w:p>
        </w:tc>
      </w:tr>
      <w:tr>
        <w:trPr>
          <w:trHeight w:val="669"/>
        </w:trPr>
        <w:tc>
          <w:tcPr>
            <w:tcW w:w="104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tcPr>
          <w:p>
            <w:pPr>
              <w:spacing w:after="0"/>
              <w:rPr>
                <w:sz w:val="24"/>
                <w:szCs w:val="24"/>
                <w:color w:val="auto"/>
              </w:rPr>
            </w:pPr>
          </w:p>
        </w:tc>
        <w:tc>
          <w:tcPr>
            <w:tcW w:w="63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517"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4950"/>
              <w:spacing w:after="0"/>
              <w:rPr>
                <w:sz w:val="20"/>
                <w:szCs w:val="20"/>
                <w:color w:val="auto"/>
              </w:rPr>
            </w:pPr>
            <w:r>
              <w:rPr>
                <w:rFonts w:ascii="Arial" w:cs="Arial" w:eastAsia="Arial" w:hAnsi="Arial"/>
                <w:sz w:val="18"/>
                <w:szCs w:val="18"/>
                <w:color w:val="auto"/>
                <w:w w:val="93"/>
              </w:rPr>
              <w:t>CO-GP, LLC.</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730"/>
              <w:spacing w:after="0"/>
              <w:rPr>
                <w:sz w:val="20"/>
                <w:szCs w:val="20"/>
                <w:color w:val="auto"/>
              </w:rPr>
            </w:pPr>
            <w:r>
              <w:rPr>
                <w:rFonts w:ascii="Arial" w:cs="Arial" w:eastAsia="Arial" w:hAnsi="Arial"/>
                <w:sz w:val="18"/>
                <w:szCs w:val="18"/>
                <w:color w:val="auto"/>
              </w:rPr>
              <w:t>73-1677697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14" w:lineRule="exact"/>
        <w:rPr>
          <w:sz w:val="20"/>
          <w:szCs w:val="20"/>
          <w:color w:val="auto"/>
        </w:rPr>
      </w:pPr>
    </w:p>
    <w:p>
      <w:pPr>
        <w:ind w:left="1160" w:hanging="372"/>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60" w:hanging="372"/>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80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2080" w:type="dxa"/>
            <w:vAlign w:val="bottom"/>
          </w:tcPr>
          <w:p>
            <w:pPr>
              <w:ind w:left="480"/>
              <w:spacing w:after="0"/>
              <w:rPr>
                <w:sz w:val="20"/>
                <w:szCs w:val="20"/>
                <w:color w:val="auto"/>
              </w:rPr>
            </w:pPr>
            <w:r>
              <w:rPr>
                <w:rFonts w:ascii="Arial" w:cs="Arial" w:eastAsia="Arial" w:hAnsi="Arial"/>
                <w:sz w:val="18"/>
                <w:szCs w:val="18"/>
                <w:color w:val="auto"/>
              </w:rPr>
              <w:t>Delaware</w:t>
            </w:r>
          </w:p>
        </w:tc>
        <w:tc>
          <w:tcPr>
            <w:tcW w:w="4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8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8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80" w:type="dxa"/>
            <w:vAlign w:val="bottom"/>
          </w:tcPr>
          <w:p>
            <w:pPr>
              <w:ind w:left="480"/>
              <w:spacing w:after="0"/>
              <w:rPr>
                <w:sz w:val="20"/>
                <w:szCs w:val="20"/>
                <w:color w:val="auto"/>
              </w:rPr>
            </w:pPr>
            <w:r>
              <w:rPr>
                <w:rFonts w:ascii="Arial" w:cs="Arial" w:eastAsia="Arial" w:hAnsi="Arial"/>
                <w:sz w:val="18"/>
                <w:szCs w:val="18"/>
                <w:color w:val="auto"/>
              </w:rPr>
              <w:t>4,669,718 ORD</w:t>
            </w: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8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8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80" w:type="dxa"/>
            <w:vAlign w:val="bottom"/>
            <w:vMerge w:val="restart"/>
          </w:tcPr>
          <w:p>
            <w:pPr>
              <w:ind w:left="480"/>
              <w:spacing w:after="0"/>
              <w:rPr>
                <w:sz w:val="20"/>
                <w:szCs w:val="20"/>
                <w:color w:val="auto"/>
              </w:rPr>
            </w:pPr>
            <w:r>
              <w:rPr>
                <w:rFonts w:ascii="Arial" w:cs="Arial" w:eastAsia="Arial" w:hAnsi="Arial"/>
                <w:sz w:val="18"/>
                <w:szCs w:val="18"/>
                <w:color w:val="auto"/>
              </w:rPr>
              <w:t>4,916,428 ORD</w:t>
            </w: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320" w:type="dxa"/>
            <w:vAlign w:val="bottom"/>
            <w:gridSpan w:val="2"/>
            <w:vMerge w:val="continue"/>
          </w:tcPr>
          <w:p>
            <w:pPr>
              <w:spacing w:after="0"/>
              <w:rPr>
                <w:sz w:val="24"/>
                <w:szCs w:val="24"/>
                <w:color w:val="auto"/>
              </w:rPr>
            </w:pPr>
          </w:p>
        </w:tc>
        <w:tc>
          <w:tcPr>
            <w:tcW w:w="2480" w:type="dxa"/>
            <w:vAlign w:val="bottom"/>
            <w:vMerge w:val="continue"/>
          </w:tcPr>
          <w:p>
            <w:pPr>
              <w:spacing w:after="0"/>
              <w:rPr>
                <w:sz w:val="24"/>
                <w:szCs w:val="24"/>
                <w:color w:val="auto"/>
              </w:rPr>
            </w:pPr>
          </w:p>
        </w:tc>
        <w:tc>
          <w:tcPr>
            <w:tcW w:w="2080" w:type="dxa"/>
            <w:vAlign w:val="bottom"/>
            <w:vMerge w:val="continue"/>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260" w:type="dxa"/>
            <w:vAlign w:val="bottom"/>
            <w:tcBorders>
              <w:bottom w:val="single" w:sz="8" w:color="auto"/>
            </w:tcBorders>
            <w:gridSpan w:val="3"/>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88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440" w:type="dxa"/>
            <w:vAlign w:val="bottom"/>
          </w:tcPr>
          <w:p>
            <w:pPr>
              <w:ind w:left="460"/>
              <w:spacing w:after="0"/>
              <w:rPr>
                <w:sz w:val="20"/>
                <w:szCs w:val="20"/>
                <w:color w:val="auto"/>
              </w:rPr>
            </w:pPr>
            <w:r>
              <w:rPr>
                <w:rFonts w:ascii="Arial" w:cs="Arial" w:eastAsia="Arial" w:hAnsi="Arial"/>
                <w:sz w:val="18"/>
                <w:szCs w:val="18"/>
                <w:color w:val="auto"/>
                <w:w w:val="93"/>
              </w:rPr>
              <w:t>4,916,428 ORD shares are deemed to be beneficially</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2080" w:type="dxa"/>
            <w:vAlign w:val="bottom"/>
          </w:tcPr>
          <w:p>
            <w:pPr>
              <w:spacing w:after="0"/>
              <w:rPr>
                <w:sz w:val="20"/>
                <w:szCs w:val="20"/>
                <w:color w:val="auto"/>
              </w:rPr>
            </w:pPr>
          </w:p>
        </w:tc>
        <w:tc>
          <w:tcPr>
            <w:tcW w:w="4440" w:type="dxa"/>
            <w:vAlign w:val="bottom"/>
          </w:tcPr>
          <w:p>
            <w:pPr>
              <w:ind w:left="460"/>
              <w:spacing w:after="0"/>
              <w:rPr>
                <w:sz w:val="20"/>
                <w:szCs w:val="20"/>
                <w:color w:val="auto"/>
              </w:rPr>
            </w:pPr>
            <w:r>
              <w:rPr>
                <w:rFonts w:ascii="Arial" w:cs="Arial" w:eastAsia="Arial" w:hAnsi="Arial"/>
                <w:sz w:val="18"/>
                <w:szCs w:val="18"/>
                <w:color w:val="auto"/>
              </w:rPr>
              <w:t>owned by CO-GP, LLC as a control person of the</w:t>
            </w:r>
          </w:p>
        </w:tc>
        <w:tc>
          <w:tcPr>
            <w:tcW w:w="0" w:type="dxa"/>
            <w:vAlign w:val="bottom"/>
          </w:tcPr>
          <w:p>
            <w:pPr>
              <w:spacing w:after="0"/>
              <w:rPr>
                <w:sz w:val="1"/>
                <w:szCs w:val="1"/>
                <w:color w:val="auto"/>
              </w:rPr>
            </w:pPr>
          </w:p>
        </w:tc>
      </w:tr>
    </w:tbl>
    <w:p>
      <w:pPr>
        <w:ind w:left="7440"/>
        <w:spacing w:after="0"/>
        <w:rPr>
          <w:sz w:val="20"/>
          <w:szCs w:val="20"/>
          <w:color w:val="auto"/>
        </w:rPr>
      </w:pPr>
      <w:r>
        <w:rPr>
          <w:rFonts w:ascii="Arial" w:cs="Arial" w:eastAsia="Arial" w:hAnsi="Arial"/>
          <w:sz w:val="16"/>
          <w:szCs w:val="16"/>
          <w:color w:val="auto"/>
        </w:rPr>
        <w:t>investment adviser. CO-GP, LLC disclaims any direct</w:t>
      </w:r>
    </w:p>
    <w:p>
      <w:pPr>
        <w:spacing w:after="0" w:line="32" w:lineRule="exact"/>
        <w:rPr>
          <w:sz w:val="20"/>
          <w:szCs w:val="20"/>
          <w:color w:val="auto"/>
        </w:rPr>
      </w:pPr>
    </w:p>
    <w:p>
      <w:pPr>
        <w:ind w:left="7440"/>
        <w:spacing w:after="0"/>
        <w:rPr>
          <w:sz w:val="20"/>
          <w:szCs w:val="20"/>
          <w:color w:val="auto"/>
        </w:rPr>
      </w:pPr>
      <w:r>
        <w:rPr>
          <w:rFonts w:ascii="Arial" w:cs="Arial" w:eastAsia="Arial" w:hAnsi="Arial"/>
          <w:sz w:val="16"/>
          <w:szCs w:val="16"/>
          <w:color w:val="auto"/>
        </w:rPr>
        <w:t>ownership of the shares reported in this Schedule 13G,</w:t>
      </w:r>
    </w:p>
    <w:p>
      <w:pPr>
        <w:spacing w:after="0" w:line="32" w:lineRule="exact"/>
        <w:rPr>
          <w:sz w:val="20"/>
          <w:szCs w:val="20"/>
          <w:color w:val="auto"/>
        </w:rPr>
      </w:pPr>
    </w:p>
    <w:p>
      <w:pPr>
        <w:ind w:left="7440"/>
        <w:spacing w:after="0"/>
        <w:rPr>
          <w:sz w:val="20"/>
          <w:szCs w:val="20"/>
          <w:color w:val="auto"/>
        </w:rPr>
      </w:pPr>
      <w:r>
        <w:rPr>
          <w:rFonts w:ascii="Arial" w:cs="Arial" w:eastAsia="Arial" w:hAnsi="Arial"/>
          <w:sz w:val="16"/>
          <w:szCs w:val="16"/>
          <w:color w:val="auto"/>
        </w:rPr>
        <w:t>except for an amount that is substantially less than one</w:t>
      </w:r>
    </w:p>
    <w:p>
      <w:pPr>
        <w:spacing w:after="0" w:line="32" w:lineRule="exact"/>
        <w:rPr>
          <w:sz w:val="20"/>
          <w:szCs w:val="20"/>
          <w:color w:val="auto"/>
        </w:rPr>
      </w:pPr>
    </w:p>
    <w:p>
      <w:pPr>
        <w:ind w:left="7440"/>
        <w:spacing w:after="0"/>
        <w:rPr>
          <w:sz w:val="20"/>
          <w:szCs w:val="20"/>
          <w:color w:val="auto"/>
        </w:rPr>
      </w:pPr>
      <w:r>
        <w:rPr>
          <w:rFonts w:ascii="Arial" w:cs="Arial" w:eastAsia="Arial" w:hAnsi="Arial"/>
          <w:sz w:val="18"/>
          <w:szCs w:val="18"/>
          <w:color w:val="auto"/>
        </w:rPr>
        <w:t>per cent of the number of shares reported herein.</w:t>
      </w:r>
    </w:p>
    <w:p>
      <w:pPr>
        <w:spacing w:after="0" w:line="178" w:lineRule="exact"/>
        <w:rPr>
          <w:sz w:val="20"/>
          <w:szCs w:val="20"/>
          <w:color w:val="auto"/>
        </w:rPr>
      </w:pPr>
    </w:p>
    <w:p>
      <w:pPr>
        <w:ind w:left="1160" w:hanging="462"/>
        <w:spacing w:after="0" w:line="207" w:lineRule="exact"/>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2"/>
              </w:rPr>
              <w:t>Percent of Class Represented by Amount in Row (9)</w:t>
            </w:r>
          </w:p>
        </w:tc>
        <w:tc>
          <w:tcPr>
            <w:tcW w:w="6380" w:type="dxa"/>
            <w:vAlign w:val="bottom"/>
            <w:tcBorders>
              <w:bottom w:val="single" w:sz="8" w:color="auto"/>
            </w:tcBorders>
          </w:tcPr>
          <w:p>
            <w:pPr>
              <w:jc w:val="right"/>
              <w:ind w:right="5010"/>
              <w:spacing w:after="0"/>
              <w:rPr>
                <w:sz w:val="20"/>
                <w:szCs w:val="20"/>
                <w:color w:val="auto"/>
              </w:rPr>
            </w:pPr>
            <w:r>
              <w:rPr>
                <w:rFonts w:ascii="Arial" w:cs="Arial" w:eastAsia="Arial" w:hAnsi="Arial"/>
                <w:sz w:val="18"/>
                <w:szCs w:val="18"/>
                <w:color w:val="auto"/>
              </w:rPr>
              <w:t>12.41 %</w:t>
            </w:r>
          </w:p>
        </w:tc>
      </w:tr>
      <w:tr>
        <w:trPr>
          <w:trHeight w:val="426"/>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380" w:type="dxa"/>
            <w:vAlign w:val="bottom"/>
            <w:tcBorders>
              <w:bottom w:val="single" w:sz="8" w:color="auto"/>
            </w:tcBorders>
          </w:tcPr>
          <w:p>
            <w:pPr>
              <w:jc w:val="right"/>
              <w:ind w:right="4330"/>
              <w:spacing w:after="0"/>
              <w:rPr>
                <w:sz w:val="20"/>
                <w:szCs w:val="20"/>
                <w:color w:val="auto"/>
              </w:rPr>
            </w:pPr>
            <w:r>
              <w:rPr>
                <w:rFonts w:ascii="Arial" w:cs="Arial" w:eastAsia="Arial" w:hAnsi="Arial"/>
                <w:sz w:val="18"/>
                <w:szCs w:val="18"/>
                <w:color w:val="auto"/>
                <w:w w:val="95"/>
              </w:rPr>
              <w:t>CO, OO (Control Person)</w:t>
            </w:r>
          </w:p>
        </w:tc>
      </w:tr>
      <w:tr>
        <w:trPr>
          <w:trHeight w:val="669"/>
        </w:trPr>
        <w:tc>
          <w:tcPr>
            <w:tcW w:w="104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tcPr>
          <w:p>
            <w:pPr>
              <w:spacing w:after="0"/>
              <w:rPr>
                <w:sz w:val="24"/>
                <w:szCs w:val="24"/>
                <w:color w:val="auto"/>
              </w:rPr>
            </w:pPr>
          </w:p>
        </w:tc>
        <w:tc>
          <w:tcPr>
            <w:tcW w:w="63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490" w:right="2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3450"/>
              <w:spacing w:after="0"/>
              <w:rPr>
                <w:sz w:val="20"/>
                <w:szCs w:val="20"/>
                <w:color w:val="auto"/>
              </w:rPr>
            </w:pPr>
            <w:r>
              <w:rPr>
                <w:rFonts w:ascii="Arial" w:cs="Arial" w:eastAsia="Arial" w:hAnsi="Arial"/>
                <w:sz w:val="18"/>
                <w:szCs w:val="18"/>
                <w:color w:val="auto"/>
                <w:w w:val="91"/>
              </w:rPr>
              <w:t>Brandes Worldwide Holdings, L.P.</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730"/>
              <w:spacing w:after="0"/>
              <w:rPr>
                <w:sz w:val="20"/>
                <w:szCs w:val="20"/>
                <w:color w:val="auto"/>
              </w:rPr>
            </w:pPr>
            <w:r>
              <w:rPr>
                <w:rFonts w:ascii="Arial" w:cs="Arial" w:eastAsia="Arial" w:hAnsi="Arial"/>
                <w:sz w:val="18"/>
                <w:szCs w:val="18"/>
                <w:color w:val="auto"/>
              </w:rPr>
              <w:t>33-0836630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14" w:lineRule="exact"/>
        <w:rPr>
          <w:sz w:val="20"/>
          <w:szCs w:val="20"/>
          <w:color w:val="auto"/>
        </w:rPr>
      </w:pPr>
    </w:p>
    <w:p>
      <w:pPr>
        <w:ind w:left="1160" w:hanging="372"/>
        <w:spacing w:after="0"/>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7"/>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7"/>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60" w:hanging="372"/>
        <w:spacing w:after="0"/>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80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2080" w:type="dxa"/>
            <w:vAlign w:val="bottom"/>
          </w:tcPr>
          <w:p>
            <w:pPr>
              <w:ind w:left="480"/>
              <w:spacing w:after="0"/>
              <w:rPr>
                <w:sz w:val="20"/>
                <w:szCs w:val="20"/>
                <w:color w:val="auto"/>
              </w:rPr>
            </w:pPr>
            <w:r>
              <w:rPr>
                <w:rFonts w:ascii="Arial" w:cs="Arial" w:eastAsia="Arial" w:hAnsi="Arial"/>
                <w:sz w:val="18"/>
                <w:szCs w:val="18"/>
                <w:color w:val="auto"/>
              </w:rPr>
              <w:t>Delaware</w:t>
            </w:r>
          </w:p>
        </w:tc>
        <w:tc>
          <w:tcPr>
            <w:tcW w:w="4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8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8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80" w:type="dxa"/>
            <w:vAlign w:val="bottom"/>
          </w:tcPr>
          <w:p>
            <w:pPr>
              <w:ind w:left="480"/>
              <w:spacing w:after="0"/>
              <w:rPr>
                <w:sz w:val="20"/>
                <w:szCs w:val="20"/>
                <w:color w:val="auto"/>
              </w:rPr>
            </w:pPr>
            <w:r>
              <w:rPr>
                <w:rFonts w:ascii="Arial" w:cs="Arial" w:eastAsia="Arial" w:hAnsi="Arial"/>
                <w:sz w:val="18"/>
                <w:szCs w:val="18"/>
                <w:color w:val="auto"/>
              </w:rPr>
              <w:t>4,669,718 ORD</w:t>
            </w: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8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8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80" w:type="dxa"/>
            <w:vAlign w:val="bottom"/>
            <w:vMerge w:val="restart"/>
          </w:tcPr>
          <w:p>
            <w:pPr>
              <w:ind w:left="480"/>
              <w:spacing w:after="0"/>
              <w:rPr>
                <w:sz w:val="20"/>
                <w:szCs w:val="20"/>
                <w:color w:val="auto"/>
              </w:rPr>
            </w:pPr>
            <w:r>
              <w:rPr>
                <w:rFonts w:ascii="Arial" w:cs="Arial" w:eastAsia="Arial" w:hAnsi="Arial"/>
                <w:sz w:val="18"/>
                <w:szCs w:val="18"/>
                <w:color w:val="auto"/>
              </w:rPr>
              <w:t>4,916,428 ORD</w:t>
            </w: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320" w:type="dxa"/>
            <w:vAlign w:val="bottom"/>
            <w:gridSpan w:val="2"/>
            <w:vMerge w:val="continue"/>
          </w:tcPr>
          <w:p>
            <w:pPr>
              <w:spacing w:after="0"/>
              <w:rPr>
                <w:sz w:val="24"/>
                <w:szCs w:val="24"/>
                <w:color w:val="auto"/>
              </w:rPr>
            </w:pPr>
          </w:p>
        </w:tc>
        <w:tc>
          <w:tcPr>
            <w:tcW w:w="2480" w:type="dxa"/>
            <w:vAlign w:val="bottom"/>
            <w:vMerge w:val="continue"/>
          </w:tcPr>
          <w:p>
            <w:pPr>
              <w:spacing w:after="0"/>
              <w:rPr>
                <w:sz w:val="24"/>
                <w:szCs w:val="24"/>
                <w:color w:val="auto"/>
              </w:rPr>
            </w:pPr>
          </w:p>
        </w:tc>
        <w:tc>
          <w:tcPr>
            <w:tcW w:w="2080" w:type="dxa"/>
            <w:vAlign w:val="bottom"/>
            <w:vMerge w:val="continue"/>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260" w:type="dxa"/>
            <w:vAlign w:val="bottom"/>
            <w:tcBorders>
              <w:bottom w:val="single" w:sz="8" w:color="auto"/>
            </w:tcBorders>
            <w:gridSpan w:val="3"/>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88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440" w:type="dxa"/>
            <w:vAlign w:val="bottom"/>
          </w:tcPr>
          <w:p>
            <w:pPr>
              <w:ind w:left="460"/>
              <w:spacing w:after="0"/>
              <w:rPr>
                <w:sz w:val="20"/>
                <w:szCs w:val="20"/>
                <w:color w:val="auto"/>
              </w:rPr>
            </w:pPr>
            <w:r>
              <w:rPr>
                <w:rFonts w:ascii="Arial" w:cs="Arial" w:eastAsia="Arial" w:hAnsi="Arial"/>
                <w:sz w:val="18"/>
                <w:szCs w:val="18"/>
                <w:color w:val="auto"/>
                <w:w w:val="93"/>
              </w:rPr>
              <w:t>4,916,428 ORD shares are deemed to be beneficially</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2080" w:type="dxa"/>
            <w:vAlign w:val="bottom"/>
          </w:tcPr>
          <w:p>
            <w:pPr>
              <w:spacing w:after="0"/>
              <w:rPr>
                <w:sz w:val="20"/>
                <w:szCs w:val="20"/>
                <w:color w:val="auto"/>
              </w:rPr>
            </w:pPr>
          </w:p>
        </w:tc>
        <w:tc>
          <w:tcPr>
            <w:tcW w:w="4440" w:type="dxa"/>
            <w:vAlign w:val="bottom"/>
          </w:tcPr>
          <w:p>
            <w:pPr>
              <w:ind w:left="460"/>
              <w:spacing w:after="0"/>
              <w:rPr>
                <w:sz w:val="20"/>
                <w:szCs w:val="20"/>
                <w:color w:val="auto"/>
              </w:rPr>
            </w:pPr>
            <w:r>
              <w:rPr>
                <w:rFonts w:ascii="Arial" w:cs="Arial" w:eastAsia="Arial" w:hAnsi="Arial"/>
                <w:sz w:val="18"/>
                <w:szCs w:val="18"/>
                <w:color w:val="auto"/>
                <w:w w:val="99"/>
              </w:rPr>
              <w:t>owned by Brandes Worldwide Holdings, L.P., as a</w:t>
            </w:r>
          </w:p>
        </w:tc>
        <w:tc>
          <w:tcPr>
            <w:tcW w:w="0" w:type="dxa"/>
            <w:vAlign w:val="bottom"/>
          </w:tcPr>
          <w:p>
            <w:pPr>
              <w:spacing w:after="0"/>
              <w:rPr>
                <w:sz w:val="1"/>
                <w:szCs w:val="1"/>
                <w:color w:val="auto"/>
              </w:rPr>
            </w:pPr>
          </w:p>
        </w:tc>
      </w:tr>
    </w:tbl>
    <w:p>
      <w:pPr>
        <w:ind w:left="7440"/>
        <w:spacing w:after="0"/>
        <w:rPr>
          <w:sz w:val="20"/>
          <w:szCs w:val="20"/>
          <w:color w:val="auto"/>
        </w:rPr>
      </w:pPr>
      <w:r>
        <w:rPr>
          <w:rFonts w:ascii="Arial" w:cs="Arial" w:eastAsia="Arial" w:hAnsi="Arial"/>
          <w:sz w:val="18"/>
          <w:szCs w:val="18"/>
          <w:color w:val="auto"/>
        </w:rPr>
        <w:t>control person of the investment adviser. Brandes</w:t>
      </w:r>
    </w:p>
    <w:p>
      <w:pPr>
        <w:spacing w:after="0" w:line="9" w:lineRule="exact"/>
        <w:rPr>
          <w:sz w:val="20"/>
          <w:szCs w:val="20"/>
          <w:color w:val="auto"/>
        </w:rPr>
      </w:pPr>
    </w:p>
    <w:p>
      <w:pPr>
        <w:ind w:left="7440"/>
        <w:spacing w:after="0"/>
        <w:rPr>
          <w:sz w:val="20"/>
          <w:szCs w:val="20"/>
          <w:color w:val="auto"/>
        </w:rPr>
      </w:pPr>
      <w:r>
        <w:rPr>
          <w:rFonts w:ascii="Arial" w:cs="Arial" w:eastAsia="Arial" w:hAnsi="Arial"/>
          <w:sz w:val="18"/>
          <w:szCs w:val="18"/>
          <w:color w:val="auto"/>
        </w:rPr>
        <w:t>Worldwide Holdings, L.P. disclaims any direct</w:t>
      </w:r>
    </w:p>
    <w:p>
      <w:pPr>
        <w:spacing w:after="0" w:line="9" w:lineRule="exact"/>
        <w:rPr>
          <w:sz w:val="20"/>
          <w:szCs w:val="20"/>
          <w:color w:val="auto"/>
        </w:rPr>
      </w:pPr>
    </w:p>
    <w:p>
      <w:pPr>
        <w:ind w:left="7440"/>
        <w:spacing w:after="0"/>
        <w:rPr>
          <w:sz w:val="20"/>
          <w:szCs w:val="20"/>
          <w:color w:val="auto"/>
        </w:rPr>
      </w:pPr>
      <w:r>
        <w:rPr>
          <w:rFonts w:ascii="Arial" w:cs="Arial" w:eastAsia="Arial" w:hAnsi="Arial"/>
          <w:sz w:val="16"/>
          <w:szCs w:val="16"/>
          <w:color w:val="auto"/>
        </w:rPr>
        <w:t>ownership of the shares reported in this Schedule 13G.</w:t>
      </w:r>
    </w:p>
    <w:p>
      <w:pPr>
        <w:spacing w:after="0" w:line="201" w:lineRule="exact"/>
        <w:rPr>
          <w:sz w:val="20"/>
          <w:szCs w:val="20"/>
          <w:color w:val="auto"/>
        </w:rPr>
      </w:pPr>
    </w:p>
    <w:p>
      <w:pPr>
        <w:ind w:left="1160" w:hanging="462"/>
        <w:spacing w:after="0" w:line="207" w:lineRule="exact"/>
        <w:tabs>
          <w:tab w:leader="none" w:pos="1160" w:val="left"/>
        </w:tabs>
        <w:numPr>
          <w:ilvl w:val="0"/>
          <w:numId w:val="8"/>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2"/>
              </w:rPr>
              <w:t>Percent of Class Represented by Amount in Row (9)</w:t>
            </w:r>
          </w:p>
        </w:tc>
        <w:tc>
          <w:tcPr>
            <w:tcW w:w="6380" w:type="dxa"/>
            <w:vAlign w:val="bottom"/>
            <w:tcBorders>
              <w:bottom w:val="single" w:sz="8" w:color="auto"/>
            </w:tcBorders>
          </w:tcPr>
          <w:p>
            <w:pPr>
              <w:jc w:val="right"/>
              <w:ind w:right="5010"/>
              <w:spacing w:after="0"/>
              <w:rPr>
                <w:sz w:val="20"/>
                <w:szCs w:val="20"/>
                <w:color w:val="auto"/>
              </w:rPr>
            </w:pPr>
            <w:r>
              <w:rPr>
                <w:rFonts w:ascii="Arial" w:cs="Arial" w:eastAsia="Arial" w:hAnsi="Arial"/>
                <w:sz w:val="18"/>
                <w:szCs w:val="18"/>
                <w:color w:val="auto"/>
              </w:rPr>
              <w:t>12.41 %</w:t>
            </w:r>
          </w:p>
        </w:tc>
      </w:tr>
      <w:tr>
        <w:trPr>
          <w:trHeight w:val="426"/>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380" w:type="dxa"/>
            <w:vAlign w:val="bottom"/>
            <w:tcBorders>
              <w:bottom w:val="single" w:sz="8" w:color="auto"/>
            </w:tcBorders>
          </w:tcPr>
          <w:p>
            <w:pPr>
              <w:jc w:val="right"/>
              <w:ind w:right="4350"/>
              <w:spacing w:after="0"/>
              <w:rPr>
                <w:sz w:val="20"/>
                <w:szCs w:val="20"/>
                <w:color w:val="auto"/>
              </w:rPr>
            </w:pPr>
            <w:r>
              <w:rPr>
                <w:rFonts w:ascii="Arial" w:cs="Arial" w:eastAsia="Arial" w:hAnsi="Arial"/>
                <w:sz w:val="18"/>
                <w:szCs w:val="18"/>
                <w:color w:val="auto"/>
                <w:w w:val="95"/>
              </w:rPr>
              <w:t>PN, OO (Control Person)</w:t>
            </w:r>
          </w:p>
        </w:tc>
      </w:tr>
      <w:tr>
        <w:trPr>
          <w:trHeight w:val="669"/>
        </w:trPr>
        <w:tc>
          <w:tcPr>
            <w:tcW w:w="104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tcPr>
          <w:p>
            <w:pPr>
              <w:spacing w:after="0"/>
              <w:rPr>
                <w:sz w:val="24"/>
                <w:szCs w:val="24"/>
                <w:color w:val="auto"/>
              </w:rPr>
            </w:pPr>
          </w:p>
        </w:tc>
        <w:tc>
          <w:tcPr>
            <w:tcW w:w="63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490" w:right="2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40" w:type="dxa"/>
            <w:vAlign w:val="bottom"/>
          </w:tcPr>
          <w:p>
            <w:pPr>
              <w:jc w:val="right"/>
              <w:ind w:right="130"/>
              <w:spacing w:after="0"/>
              <w:rPr>
                <w:sz w:val="20"/>
                <w:szCs w:val="20"/>
                <w:color w:val="auto"/>
              </w:rPr>
            </w:pPr>
            <w:r>
              <w:rPr>
                <w:rFonts w:ascii="Arial" w:cs="Arial" w:eastAsia="Arial" w:hAnsi="Arial"/>
                <w:sz w:val="18"/>
                <w:szCs w:val="18"/>
                <w:color w:val="auto"/>
                <w:w w:val="90"/>
              </w:rPr>
              <w:t>CUSIP No.</w:t>
            </w:r>
          </w:p>
        </w:tc>
        <w:tc>
          <w:tcPr>
            <w:tcW w:w="432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1040" w:type="dxa"/>
            <w:vAlign w:val="bottom"/>
            <w:tcBorders>
              <w:bottom w:val="single" w:sz="8" w:color="auto"/>
            </w:tcBorders>
          </w:tcPr>
          <w:p>
            <w:pPr>
              <w:spacing w:after="0"/>
              <w:rPr>
                <w:sz w:val="18"/>
                <w:szCs w:val="18"/>
                <w:color w:val="auto"/>
              </w:rPr>
            </w:pPr>
          </w:p>
        </w:tc>
        <w:tc>
          <w:tcPr>
            <w:tcW w:w="4320" w:type="dxa"/>
            <w:vAlign w:val="bottom"/>
            <w:tcBorders>
              <w:bottom w:val="single" w:sz="8" w:color="auto"/>
            </w:tcBorders>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104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432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060" w:type="dxa"/>
            <w:vAlign w:val="bottom"/>
          </w:tcPr>
          <w:p>
            <w:pPr>
              <w:ind w:left="20"/>
              <w:spacing w:after="0"/>
              <w:rPr>
                <w:sz w:val="20"/>
                <w:szCs w:val="20"/>
                <w:color w:val="auto"/>
              </w:rPr>
            </w:pPr>
            <w:r>
              <w:rPr>
                <w:rFonts w:ascii="Arial" w:cs="Arial" w:eastAsia="Arial" w:hAnsi="Arial"/>
                <w:sz w:val="18"/>
                <w:szCs w:val="18"/>
                <w:color w:val="auto"/>
              </w:rPr>
              <w:t>Glenn Carlson</w:t>
            </w:r>
          </w:p>
        </w:tc>
      </w:tr>
      <w:tr>
        <w:trPr>
          <w:trHeight w:val="230"/>
        </w:trPr>
        <w:tc>
          <w:tcPr>
            <w:tcW w:w="1040" w:type="dxa"/>
            <w:vAlign w:val="bottom"/>
          </w:tcPr>
          <w:p>
            <w:pPr>
              <w:spacing w:after="0"/>
              <w:rPr>
                <w:sz w:val="20"/>
                <w:szCs w:val="20"/>
                <w:color w:val="auto"/>
              </w:rPr>
            </w:pPr>
          </w:p>
        </w:tc>
        <w:tc>
          <w:tcPr>
            <w:tcW w:w="4320" w:type="dxa"/>
            <w:vAlign w:val="bottom"/>
          </w:tcPr>
          <w:p>
            <w:pPr>
              <w:ind w:left="12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spacing w:after="0"/>
              <w:rPr>
                <w:sz w:val="20"/>
                <w:szCs w:val="2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14" w:lineRule="exact"/>
        <w:rPr>
          <w:sz w:val="20"/>
          <w:szCs w:val="20"/>
          <w:color w:val="auto"/>
        </w:rPr>
      </w:pPr>
    </w:p>
    <w:p>
      <w:pPr>
        <w:ind w:left="1160" w:hanging="372"/>
        <w:spacing w:after="0"/>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9"/>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9"/>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60" w:hanging="372"/>
        <w:spacing w:after="0"/>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80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2080" w:type="dxa"/>
            <w:vAlign w:val="bottom"/>
          </w:tcPr>
          <w:p>
            <w:pPr>
              <w:ind w:left="480"/>
              <w:spacing w:after="0"/>
              <w:rPr>
                <w:sz w:val="20"/>
                <w:szCs w:val="20"/>
                <w:color w:val="auto"/>
              </w:rPr>
            </w:pPr>
            <w:r>
              <w:rPr>
                <w:rFonts w:ascii="Arial" w:cs="Arial" w:eastAsia="Arial" w:hAnsi="Arial"/>
                <w:sz w:val="18"/>
                <w:szCs w:val="18"/>
                <w:color w:val="auto"/>
              </w:rPr>
              <w:t>USA</w:t>
            </w:r>
          </w:p>
        </w:tc>
        <w:tc>
          <w:tcPr>
            <w:tcW w:w="4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8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8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80" w:type="dxa"/>
            <w:vAlign w:val="bottom"/>
          </w:tcPr>
          <w:p>
            <w:pPr>
              <w:ind w:left="480"/>
              <w:spacing w:after="0"/>
              <w:rPr>
                <w:sz w:val="20"/>
                <w:szCs w:val="20"/>
                <w:color w:val="auto"/>
              </w:rPr>
            </w:pPr>
            <w:r>
              <w:rPr>
                <w:rFonts w:ascii="Arial" w:cs="Arial" w:eastAsia="Arial" w:hAnsi="Arial"/>
                <w:sz w:val="18"/>
                <w:szCs w:val="18"/>
                <w:color w:val="auto"/>
              </w:rPr>
              <w:t>4,669,718 ORD</w:t>
            </w: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8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8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48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8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80" w:type="dxa"/>
            <w:vAlign w:val="bottom"/>
            <w:vMerge w:val="restart"/>
          </w:tcPr>
          <w:p>
            <w:pPr>
              <w:ind w:left="480"/>
              <w:spacing w:after="0"/>
              <w:rPr>
                <w:sz w:val="20"/>
                <w:szCs w:val="20"/>
                <w:color w:val="auto"/>
              </w:rPr>
            </w:pPr>
            <w:r>
              <w:rPr>
                <w:rFonts w:ascii="Arial" w:cs="Arial" w:eastAsia="Arial" w:hAnsi="Arial"/>
                <w:sz w:val="18"/>
                <w:szCs w:val="18"/>
                <w:color w:val="auto"/>
              </w:rPr>
              <w:t>4,916,428 ORD</w:t>
            </w:r>
          </w:p>
        </w:tc>
        <w:tc>
          <w:tcPr>
            <w:tcW w:w="4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320" w:type="dxa"/>
            <w:vAlign w:val="bottom"/>
            <w:gridSpan w:val="2"/>
            <w:vMerge w:val="continue"/>
          </w:tcPr>
          <w:p>
            <w:pPr>
              <w:spacing w:after="0"/>
              <w:rPr>
                <w:sz w:val="24"/>
                <w:szCs w:val="24"/>
                <w:color w:val="auto"/>
              </w:rPr>
            </w:pPr>
          </w:p>
        </w:tc>
        <w:tc>
          <w:tcPr>
            <w:tcW w:w="2480" w:type="dxa"/>
            <w:vAlign w:val="bottom"/>
            <w:vMerge w:val="continue"/>
          </w:tcPr>
          <w:p>
            <w:pPr>
              <w:spacing w:after="0"/>
              <w:rPr>
                <w:sz w:val="24"/>
                <w:szCs w:val="24"/>
                <w:color w:val="auto"/>
              </w:rPr>
            </w:pPr>
          </w:p>
        </w:tc>
        <w:tc>
          <w:tcPr>
            <w:tcW w:w="2080" w:type="dxa"/>
            <w:vAlign w:val="bottom"/>
            <w:vMerge w:val="continue"/>
          </w:tcPr>
          <w:p>
            <w:pPr>
              <w:spacing w:after="0"/>
              <w:rPr>
                <w:sz w:val="24"/>
                <w:szCs w:val="24"/>
                <w:color w:val="auto"/>
              </w:rPr>
            </w:pPr>
          </w:p>
        </w:tc>
        <w:tc>
          <w:tcPr>
            <w:tcW w:w="4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260" w:type="dxa"/>
            <w:vAlign w:val="bottom"/>
            <w:tcBorders>
              <w:bottom w:val="single" w:sz="8" w:color="auto"/>
            </w:tcBorders>
            <w:gridSpan w:val="3"/>
          </w:tcPr>
          <w:p>
            <w:pPr>
              <w:spacing w:after="0"/>
              <w:rPr>
                <w:sz w:val="5"/>
                <w:szCs w:val="5"/>
                <w:color w:val="auto"/>
              </w:rPr>
            </w:pPr>
          </w:p>
        </w:tc>
        <w:tc>
          <w:tcPr>
            <w:tcW w:w="4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88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440" w:type="dxa"/>
            <w:vAlign w:val="bottom"/>
          </w:tcPr>
          <w:p>
            <w:pPr>
              <w:ind w:left="460"/>
              <w:spacing w:after="0"/>
              <w:rPr>
                <w:sz w:val="20"/>
                <w:szCs w:val="20"/>
                <w:color w:val="auto"/>
              </w:rPr>
            </w:pPr>
            <w:r>
              <w:rPr>
                <w:rFonts w:ascii="Arial" w:cs="Arial" w:eastAsia="Arial" w:hAnsi="Arial"/>
                <w:sz w:val="18"/>
                <w:szCs w:val="18"/>
                <w:color w:val="auto"/>
                <w:w w:val="93"/>
              </w:rPr>
              <w:t>4,916,428 ORD shares are deemed to be beneficially</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2080" w:type="dxa"/>
            <w:vAlign w:val="bottom"/>
          </w:tcPr>
          <w:p>
            <w:pPr>
              <w:spacing w:after="0"/>
              <w:rPr>
                <w:sz w:val="20"/>
                <w:szCs w:val="20"/>
                <w:color w:val="auto"/>
              </w:rPr>
            </w:pPr>
          </w:p>
        </w:tc>
        <w:tc>
          <w:tcPr>
            <w:tcW w:w="4440" w:type="dxa"/>
            <w:vAlign w:val="bottom"/>
          </w:tcPr>
          <w:p>
            <w:pPr>
              <w:ind w:left="460"/>
              <w:spacing w:after="0"/>
              <w:rPr>
                <w:sz w:val="20"/>
                <w:szCs w:val="20"/>
                <w:color w:val="auto"/>
              </w:rPr>
            </w:pPr>
            <w:r>
              <w:rPr>
                <w:rFonts w:ascii="Arial" w:cs="Arial" w:eastAsia="Arial" w:hAnsi="Arial"/>
                <w:sz w:val="18"/>
                <w:szCs w:val="18"/>
                <w:color w:val="auto"/>
              </w:rPr>
              <w:t>owned by Glenn Carlson, a control person of the</w:t>
            </w:r>
          </w:p>
        </w:tc>
        <w:tc>
          <w:tcPr>
            <w:tcW w:w="0" w:type="dxa"/>
            <w:vAlign w:val="bottom"/>
          </w:tcPr>
          <w:p>
            <w:pPr>
              <w:spacing w:after="0"/>
              <w:rPr>
                <w:sz w:val="1"/>
                <w:szCs w:val="1"/>
                <w:color w:val="auto"/>
              </w:rPr>
            </w:pPr>
          </w:p>
        </w:tc>
      </w:tr>
    </w:tbl>
    <w:p>
      <w:pPr>
        <w:ind w:left="7440"/>
        <w:spacing w:after="0"/>
        <w:rPr>
          <w:sz w:val="20"/>
          <w:szCs w:val="20"/>
          <w:color w:val="auto"/>
        </w:rPr>
      </w:pPr>
      <w:r>
        <w:rPr>
          <w:rFonts w:ascii="Arial" w:cs="Arial" w:eastAsia="Arial" w:hAnsi="Arial"/>
          <w:sz w:val="17"/>
          <w:szCs w:val="17"/>
          <w:color w:val="auto"/>
        </w:rPr>
        <w:t>investment adviser. Mr. Carlson disclaims any direct</w:t>
      </w:r>
    </w:p>
    <w:p>
      <w:pPr>
        <w:spacing w:after="0" w:line="21" w:lineRule="exact"/>
        <w:rPr>
          <w:sz w:val="20"/>
          <w:szCs w:val="20"/>
          <w:color w:val="auto"/>
        </w:rPr>
      </w:pPr>
    </w:p>
    <w:p>
      <w:pPr>
        <w:ind w:left="7440"/>
        <w:spacing w:after="0"/>
        <w:rPr>
          <w:sz w:val="20"/>
          <w:szCs w:val="20"/>
          <w:color w:val="auto"/>
        </w:rPr>
      </w:pPr>
      <w:r>
        <w:rPr>
          <w:rFonts w:ascii="Arial" w:cs="Arial" w:eastAsia="Arial" w:hAnsi="Arial"/>
          <w:sz w:val="17"/>
          <w:szCs w:val="17"/>
          <w:color w:val="auto"/>
        </w:rPr>
        <w:t>ownership of the shares reported in Schedule 13G,</w:t>
      </w:r>
    </w:p>
    <w:p>
      <w:pPr>
        <w:spacing w:after="0" w:line="21" w:lineRule="exact"/>
        <w:rPr>
          <w:sz w:val="20"/>
          <w:szCs w:val="20"/>
          <w:color w:val="auto"/>
        </w:rPr>
      </w:pPr>
    </w:p>
    <w:p>
      <w:pPr>
        <w:ind w:left="7440"/>
        <w:spacing w:after="0"/>
        <w:rPr>
          <w:sz w:val="20"/>
          <w:szCs w:val="20"/>
          <w:color w:val="auto"/>
        </w:rPr>
      </w:pPr>
      <w:r>
        <w:rPr>
          <w:rFonts w:ascii="Arial" w:cs="Arial" w:eastAsia="Arial" w:hAnsi="Arial"/>
          <w:sz w:val="16"/>
          <w:szCs w:val="16"/>
          <w:color w:val="auto"/>
        </w:rPr>
        <w:t>except for the amount that is substantially less than one</w:t>
      </w:r>
    </w:p>
    <w:p>
      <w:pPr>
        <w:spacing w:after="0" w:line="32" w:lineRule="exact"/>
        <w:rPr>
          <w:sz w:val="20"/>
          <w:szCs w:val="20"/>
          <w:color w:val="auto"/>
        </w:rPr>
      </w:pPr>
    </w:p>
    <w:p>
      <w:pPr>
        <w:ind w:left="7440"/>
        <w:spacing w:after="0"/>
        <w:rPr>
          <w:sz w:val="20"/>
          <w:szCs w:val="20"/>
          <w:color w:val="auto"/>
        </w:rPr>
      </w:pPr>
      <w:r>
        <w:rPr>
          <w:rFonts w:ascii="Arial" w:cs="Arial" w:eastAsia="Arial" w:hAnsi="Arial"/>
          <w:sz w:val="18"/>
          <w:szCs w:val="18"/>
          <w:color w:val="auto"/>
        </w:rPr>
        <w:t>per cent of the number of shares reported herein.</w:t>
      </w:r>
    </w:p>
    <w:p>
      <w:pPr>
        <w:spacing w:after="0" w:line="178" w:lineRule="exact"/>
        <w:rPr>
          <w:sz w:val="20"/>
          <w:szCs w:val="20"/>
          <w:color w:val="auto"/>
        </w:rPr>
      </w:pPr>
    </w:p>
    <w:p>
      <w:pPr>
        <w:ind w:left="1160" w:hanging="462"/>
        <w:spacing w:after="0" w:line="207" w:lineRule="exact"/>
        <w:tabs>
          <w:tab w:leader="none" w:pos="11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2"/>
              </w:rPr>
              <w:t>Percent of Class Represented by Amount in Row (9)</w:t>
            </w:r>
          </w:p>
        </w:tc>
        <w:tc>
          <w:tcPr>
            <w:tcW w:w="6380" w:type="dxa"/>
            <w:vAlign w:val="bottom"/>
            <w:tcBorders>
              <w:bottom w:val="single" w:sz="8" w:color="auto"/>
            </w:tcBorders>
          </w:tcPr>
          <w:p>
            <w:pPr>
              <w:jc w:val="right"/>
              <w:ind w:right="5010"/>
              <w:spacing w:after="0"/>
              <w:rPr>
                <w:sz w:val="20"/>
                <w:szCs w:val="20"/>
                <w:color w:val="auto"/>
              </w:rPr>
            </w:pPr>
            <w:r>
              <w:rPr>
                <w:rFonts w:ascii="Arial" w:cs="Arial" w:eastAsia="Arial" w:hAnsi="Arial"/>
                <w:sz w:val="18"/>
                <w:szCs w:val="18"/>
                <w:color w:val="auto"/>
              </w:rPr>
              <w:t>12.41 %</w:t>
            </w:r>
          </w:p>
        </w:tc>
      </w:tr>
      <w:tr>
        <w:trPr>
          <w:trHeight w:val="426"/>
        </w:trPr>
        <w:tc>
          <w:tcPr>
            <w:tcW w:w="10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400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380" w:type="dxa"/>
            <w:vAlign w:val="bottom"/>
            <w:tcBorders>
              <w:bottom w:val="single" w:sz="8" w:color="auto"/>
            </w:tcBorders>
          </w:tcPr>
          <w:p>
            <w:pPr>
              <w:jc w:val="right"/>
              <w:ind w:right="4390"/>
              <w:spacing w:after="0"/>
              <w:rPr>
                <w:sz w:val="20"/>
                <w:szCs w:val="20"/>
                <w:color w:val="auto"/>
              </w:rPr>
            </w:pPr>
            <w:r>
              <w:rPr>
                <w:rFonts w:ascii="Arial" w:cs="Arial" w:eastAsia="Arial" w:hAnsi="Arial"/>
                <w:sz w:val="18"/>
                <w:szCs w:val="18"/>
                <w:color w:val="auto"/>
                <w:w w:val="97"/>
              </w:rPr>
              <w:t>IN, OO (Control Person)</w:t>
            </w:r>
          </w:p>
        </w:tc>
      </w:tr>
      <w:tr>
        <w:trPr>
          <w:trHeight w:val="669"/>
        </w:trPr>
        <w:tc>
          <w:tcPr>
            <w:tcW w:w="104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tcPr>
          <w:p>
            <w:pPr>
              <w:spacing w:after="0"/>
              <w:rPr>
                <w:sz w:val="24"/>
                <w:szCs w:val="24"/>
                <w:color w:val="auto"/>
              </w:rPr>
            </w:pPr>
          </w:p>
        </w:tc>
        <w:tc>
          <w:tcPr>
            <w:tcW w:w="63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490" w:right="2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620" w:hanging="640"/>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CO-GP, LLC</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Glenn Carlson</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620" w:hanging="640"/>
        <w:spacing w:after="0"/>
        <w:tabs>
          <w:tab w:leader="none" w:pos="16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620" w:hanging="640"/>
        <w:spacing w:after="0"/>
        <w:tabs>
          <w:tab w:leader="none" w:pos="16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90" w:right="2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3" w:lineRule="exact"/>
        <w:rPr>
          <w:sz w:val="20"/>
          <w:szCs w:val="20"/>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Broker or dealer registered under section 15 of the Act (15 U.S.C. 78o).</w:t>
      </w:r>
    </w:p>
    <w:p>
      <w:pPr>
        <w:spacing w:after="0" w:line="57"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Bank as defined in section 3(a)(6) of the Act (15 U.S.C. 78c).</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Insurance company as defined in section 3(a)(19) of the Act (15 U.S.C. 78c).</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Investment company registered under section 8 of the Investment Company Act (15 U.S.C. 80a-8).</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investment adviser in accordance with § 240.13d-1(b)(1)(ii)(E).</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employee benefit plan or endowment fund in accordance with § 240.13d-1(b)(ii)(F).</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parent holding company or control person in accordance with § 240.13d-1(b)(1)(ii)(G).</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2000" w:right="180" w:hanging="1020"/>
        <w:spacing w:after="0" w:line="215" w:lineRule="exact"/>
        <w:tabs>
          <w:tab w:leader="none" w:pos="1487"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A church plan that is excluded from the definition of an investment company under section 3(c)(14) of the Investment Company Act of 1940 (15 U.S.C. 80a-3).</w:t>
      </w:r>
    </w:p>
    <w:p>
      <w:pPr>
        <w:ind w:left="1500" w:hanging="520"/>
        <w:spacing w:after="0"/>
        <w:tabs>
          <w:tab w:leader="none" w:pos="15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þ</w:t>
      </w:r>
      <w:r>
        <w:rPr>
          <w:rFonts w:ascii="Arial" w:cs="Arial" w:eastAsia="Arial" w:hAnsi="Arial"/>
          <w:sz w:val="16"/>
          <w:szCs w:val="16"/>
          <w:color w:val="auto"/>
        </w:rPr>
        <w:t>Group, in accordance with § 240.13d-1(b)(1)(ii)(J).</w:t>
      </w:r>
    </w:p>
    <w:p>
      <w:pPr>
        <w:spacing w:after="0" w:line="211" w:lineRule="exact"/>
        <w:rPr>
          <w:sz w:val="20"/>
          <w:szCs w:val="20"/>
          <w:color w:val="auto"/>
        </w:rPr>
      </w:pPr>
    </w:p>
    <w:p>
      <w:pPr>
        <w:ind w:left="980" w:right="30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08" w:lineRule="exact"/>
        <w:rPr>
          <w:sz w:val="20"/>
          <w:szCs w:val="20"/>
          <w:color w:val="auto"/>
        </w:rPr>
      </w:pPr>
    </w:p>
    <w:tbl>
      <w:tblPr>
        <w:tblLayout w:type="fixed"/>
        <w:tblInd w:w="980" w:type="dxa"/>
        <w:tblCellMar>
          <w:top w:w="0" w:type="dxa"/>
          <w:left w:w="0" w:type="dxa"/>
          <w:bottom w:w="0" w:type="dxa"/>
          <w:right w:w="0" w:type="dxa"/>
        </w:tblCellMar>
      </w:tblPr>
      <w:tr>
        <w:trPr>
          <w:trHeight w:val="207"/>
        </w:trPr>
        <w:tc>
          <w:tcPr>
            <w:tcW w:w="360" w:type="dxa"/>
            <w:vAlign w:val="bottom"/>
          </w:tcPr>
          <w:p>
            <w:pPr>
              <w:spacing w:after="0"/>
              <w:rPr>
                <w:sz w:val="20"/>
                <w:szCs w:val="20"/>
                <w:color w:val="auto"/>
              </w:rPr>
            </w:pPr>
            <w:r>
              <w:rPr>
                <w:rFonts w:ascii="Arial" w:cs="Arial" w:eastAsia="Arial" w:hAnsi="Arial"/>
                <w:sz w:val="18"/>
                <w:szCs w:val="18"/>
                <w:color w:val="auto"/>
              </w:rPr>
              <w:t>(a)</w:t>
            </w:r>
          </w:p>
        </w:tc>
        <w:tc>
          <w:tcPr>
            <w:tcW w:w="2740" w:type="dxa"/>
            <w:vAlign w:val="bottom"/>
            <w:gridSpan w:val="3"/>
          </w:tcPr>
          <w:p>
            <w:pPr>
              <w:ind w:left="160"/>
              <w:spacing w:after="0"/>
              <w:rPr>
                <w:sz w:val="20"/>
                <w:szCs w:val="20"/>
                <w:color w:val="auto"/>
              </w:rPr>
            </w:pPr>
            <w:r>
              <w:rPr>
                <w:rFonts w:ascii="Arial" w:cs="Arial" w:eastAsia="Arial" w:hAnsi="Arial"/>
                <w:sz w:val="18"/>
                <w:szCs w:val="18"/>
                <w:color w:val="auto"/>
              </w:rPr>
              <w:t>Amount Beneficially Owned:</w:t>
            </w:r>
          </w:p>
        </w:tc>
        <w:tc>
          <w:tcPr>
            <w:tcW w:w="1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89"/>
              </w:rPr>
              <w:t>4,916,428 ORD</w:t>
            </w:r>
          </w:p>
        </w:tc>
      </w:tr>
      <w:tr>
        <w:trPr>
          <w:trHeight w:val="412"/>
        </w:trPr>
        <w:tc>
          <w:tcPr>
            <w:tcW w:w="360" w:type="dxa"/>
            <w:vAlign w:val="bottom"/>
          </w:tcPr>
          <w:p>
            <w:pPr>
              <w:spacing w:after="0"/>
              <w:rPr>
                <w:sz w:val="20"/>
                <w:szCs w:val="20"/>
                <w:color w:val="auto"/>
              </w:rPr>
            </w:pPr>
            <w:r>
              <w:rPr>
                <w:rFonts w:ascii="Arial" w:cs="Arial" w:eastAsia="Arial" w:hAnsi="Arial"/>
                <w:sz w:val="18"/>
                <w:szCs w:val="18"/>
                <w:color w:val="auto"/>
              </w:rPr>
              <w:t>(b)</w:t>
            </w:r>
          </w:p>
        </w:tc>
        <w:tc>
          <w:tcPr>
            <w:tcW w:w="1820" w:type="dxa"/>
            <w:vAlign w:val="bottom"/>
          </w:tcPr>
          <w:p>
            <w:pPr>
              <w:ind w:left="160"/>
              <w:spacing w:after="0"/>
              <w:rPr>
                <w:sz w:val="20"/>
                <w:szCs w:val="20"/>
                <w:color w:val="auto"/>
              </w:rPr>
            </w:pPr>
            <w:r>
              <w:rPr>
                <w:rFonts w:ascii="Arial" w:cs="Arial" w:eastAsia="Arial" w:hAnsi="Arial"/>
                <w:sz w:val="18"/>
                <w:szCs w:val="18"/>
                <w:color w:val="auto"/>
              </w:rPr>
              <w:t>Percent of Class:</w:t>
            </w: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88"/>
              </w:rPr>
              <w:t>12.</w:t>
            </w:r>
            <w:r>
              <w:rPr>
                <w:rFonts w:ascii="Arial" w:cs="Arial" w:eastAsia="Arial" w:hAnsi="Arial"/>
                <w:sz w:val="18"/>
                <w:szCs w:val="18"/>
                <w:u w:val="single" w:color="auto"/>
                <w:color w:val="auto"/>
                <w:w w:val="88"/>
              </w:rPr>
              <w:t>41%</w:t>
            </w:r>
          </w:p>
        </w:tc>
        <w:tc>
          <w:tcPr>
            <w:tcW w:w="360" w:type="dxa"/>
            <w:vAlign w:val="bottom"/>
          </w:tcPr>
          <w:p>
            <w:pPr>
              <w:spacing w:after="0"/>
              <w:rPr>
                <w:sz w:val="24"/>
                <w:szCs w:val="24"/>
                <w:color w:val="auto"/>
              </w:rPr>
            </w:pPr>
          </w:p>
        </w:tc>
        <w:tc>
          <w:tcPr>
            <w:tcW w:w="1140" w:type="dxa"/>
            <w:vAlign w:val="bottom"/>
          </w:tcPr>
          <w:p>
            <w:pPr>
              <w:spacing w:after="0"/>
              <w:rPr>
                <w:sz w:val="24"/>
                <w:szCs w:val="24"/>
                <w:color w:val="auto"/>
              </w:rPr>
            </w:pPr>
          </w:p>
        </w:tc>
      </w:tr>
    </w:tbl>
    <w:p>
      <w:pPr>
        <w:spacing w:after="0" w:line="229" w:lineRule="exact"/>
        <w:rPr>
          <w:sz w:val="20"/>
          <w:szCs w:val="20"/>
          <w:color w:val="auto"/>
        </w:rPr>
      </w:pPr>
    </w:p>
    <w:p>
      <w:pPr>
        <w:ind w:left="1500" w:hanging="520"/>
        <w:spacing w:after="0"/>
        <w:tabs>
          <w:tab w:leader="none" w:pos="1500" w:val="left"/>
        </w:tabs>
        <w:numPr>
          <w:ilvl w:val="0"/>
          <w:numId w:val="15"/>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08" w:lineRule="exact"/>
        <w:rPr>
          <w:sz w:val="20"/>
          <w:szCs w:val="20"/>
          <w:color w:val="auto"/>
        </w:rPr>
      </w:pPr>
    </w:p>
    <w:tbl>
      <w:tblPr>
        <w:tblLayout w:type="fixed"/>
        <w:tblInd w:w="1500" w:type="dxa"/>
        <w:tblCellMar>
          <w:top w:w="0" w:type="dxa"/>
          <w:left w:w="0" w:type="dxa"/>
          <w:bottom w:w="0" w:type="dxa"/>
          <w:right w:w="0" w:type="dxa"/>
        </w:tblCellMar>
      </w:tblPr>
      <w:tr>
        <w:trPr>
          <w:trHeight w:val="207"/>
        </w:trPr>
        <w:tc>
          <w:tcPr>
            <w:tcW w:w="380" w:type="dxa"/>
            <w:vAlign w:val="bottom"/>
          </w:tcPr>
          <w:p>
            <w:pPr>
              <w:spacing w:after="0"/>
              <w:rPr>
                <w:sz w:val="20"/>
                <w:szCs w:val="20"/>
                <w:color w:val="auto"/>
              </w:rPr>
            </w:pPr>
            <w:r>
              <w:rPr>
                <w:rFonts w:ascii="Arial" w:cs="Arial" w:eastAsia="Arial" w:hAnsi="Arial"/>
                <w:sz w:val="18"/>
                <w:szCs w:val="18"/>
                <w:color w:val="auto"/>
              </w:rPr>
              <w:t>(i)</w:t>
            </w:r>
          </w:p>
        </w:tc>
        <w:tc>
          <w:tcPr>
            <w:tcW w:w="3400" w:type="dxa"/>
            <w:vAlign w:val="bottom"/>
          </w:tcPr>
          <w:p>
            <w:pPr>
              <w:ind w:left="120"/>
              <w:spacing w:after="0"/>
              <w:rPr>
                <w:sz w:val="20"/>
                <w:szCs w:val="20"/>
                <w:color w:val="auto"/>
              </w:rPr>
            </w:pPr>
            <w:r>
              <w:rPr>
                <w:rFonts w:ascii="Arial" w:cs="Arial" w:eastAsia="Arial" w:hAnsi="Arial"/>
                <w:sz w:val="18"/>
                <w:szCs w:val="18"/>
                <w:color w:val="auto"/>
              </w:rPr>
              <w:t>sole power to vote or to direct the vote:</w:t>
            </w:r>
          </w:p>
        </w:tc>
        <w:tc>
          <w:tcPr>
            <w:tcW w:w="60" w:type="dxa"/>
            <w:vAlign w:val="bottom"/>
          </w:tcPr>
          <w:p>
            <w:pPr>
              <w:spacing w:after="0"/>
              <w:rPr>
                <w:sz w:val="17"/>
                <w:szCs w:val="17"/>
                <w:color w:val="auto"/>
              </w:rPr>
            </w:pPr>
          </w:p>
        </w:tc>
        <w:tc>
          <w:tcPr>
            <w:tcW w:w="4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0</w:t>
            </w:r>
          </w:p>
        </w:tc>
        <w:tc>
          <w:tcPr>
            <w:tcW w:w="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520" w:type="dxa"/>
            <w:vAlign w:val="bottom"/>
          </w:tcPr>
          <w:p>
            <w:pPr>
              <w:spacing w:after="0"/>
              <w:rPr>
                <w:sz w:val="17"/>
                <w:szCs w:val="17"/>
                <w:color w:val="auto"/>
              </w:rPr>
            </w:pPr>
          </w:p>
        </w:tc>
      </w:tr>
      <w:tr>
        <w:trPr>
          <w:trHeight w:val="412"/>
        </w:trPr>
        <w:tc>
          <w:tcPr>
            <w:tcW w:w="380" w:type="dxa"/>
            <w:vAlign w:val="bottom"/>
          </w:tcPr>
          <w:p>
            <w:pPr>
              <w:spacing w:after="0"/>
              <w:rPr>
                <w:sz w:val="20"/>
                <w:szCs w:val="20"/>
                <w:color w:val="auto"/>
              </w:rPr>
            </w:pPr>
            <w:r>
              <w:rPr>
                <w:rFonts w:ascii="Arial" w:cs="Arial" w:eastAsia="Arial" w:hAnsi="Arial"/>
                <w:sz w:val="18"/>
                <w:szCs w:val="18"/>
                <w:color w:val="auto"/>
              </w:rPr>
              <w:t>(ii)</w:t>
            </w:r>
          </w:p>
        </w:tc>
        <w:tc>
          <w:tcPr>
            <w:tcW w:w="3400" w:type="dxa"/>
            <w:vAlign w:val="bottom"/>
          </w:tcPr>
          <w:p>
            <w:pPr>
              <w:ind w:left="120"/>
              <w:spacing w:after="0"/>
              <w:rPr>
                <w:sz w:val="20"/>
                <w:szCs w:val="20"/>
                <w:color w:val="auto"/>
              </w:rPr>
            </w:pPr>
            <w:r>
              <w:rPr>
                <w:rFonts w:ascii="Arial" w:cs="Arial" w:eastAsia="Arial" w:hAnsi="Arial"/>
                <w:sz w:val="18"/>
                <w:szCs w:val="18"/>
                <w:color w:val="auto"/>
                <w:w w:val="98"/>
              </w:rPr>
              <w:t>shared power to vote or to direct the vote:</w:t>
            </w:r>
          </w:p>
        </w:tc>
        <w:tc>
          <w:tcPr>
            <w:tcW w:w="1160" w:type="dxa"/>
            <w:vAlign w:val="bottom"/>
            <w:tcBorders>
              <w:bottom w:val="single" w:sz="8" w:color="auto"/>
            </w:tcBorders>
            <w:gridSpan w:val="5"/>
          </w:tcPr>
          <w:p>
            <w:pPr>
              <w:spacing w:after="0"/>
              <w:rPr>
                <w:sz w:val="20"/>
                <w:szCs w:val="20"/>
                <w:color w:val="auto"/>
              </w:rPr>
            </w:pPr>
            <w:r>
              <w:rPr>
                <w:rFonts w:ascii="Arial" w:cs="Arial" w:eastAsia="Arial" w:hAnsi="Arial"/>
                <w:sz w:val="18"/>
                <w:szCs w:val="18"/>
                <w:color w:val="auto"/>
                <w:w w:val="91"/>
              </w:rPr>
              <w:t>4,669,718 ORD</w:t>
            </w:r>
          </w:p>
        </w:tc>
        <w:tc>
          <w:tcPr>
            <w:tcW w:w="1040" w:type="dxa"/>
            <w:vAlign w:val="bottom"/>
            <w:gridSpan w:val="2"/>
          </w:tcPr>
          <w:p>
            <w:pPr>
              <w:spacing w:after="0"/>
              <w:rPr>
                <w:sz w:val="24"/>
                <w:szCs w:val="24"/>
                <w:color w:val="auto"/>
              </w:rPr>
            </w:pPr>
          </w:p>
        </w:tc>
      </w:tr>
      <w:tr>
        <w:trPr>
          <w:trHeight w:val="412"/>
        </w:trPr>
        <w:tc>
          <w:tcPr>
            <w:tcW w:w="380" w:type="dxa"/>
            <w:vAlign w:val="bottom"/>
          </w:tcPr>
          <w:p>
            <w:pPr>
              <w:spacing w:after="0"/>
              <w:rPr>
                <w:sz w:val="20"/>
                <w:szCs w:val="20"/>
                <w:color w:val="auto"/>
              </w:rPr>
            </w:pPr>
            <w:r>
              <w:rPr>
                <w:rFonts w:ascii="Arial" w:cs="Arial" w:eastAsia="Arial" w:hAnsi="Arial"/>
                <w:sz w:val="18"/>
                <w:szCs w:val="18"/>
                <w:color w:val="auto"/>
              </w:rPr>
              <w:t>(iii)</w:t>
            </w:r>
          </w:p>
        </w:tc>
        <w:tc>
          <w:tcPr>
            <w:tcW w:w="4440" w:type="dxa"/>
            <w:vAlign w:val="bottom"/>
            <w:gridSpan w:val="4"/>
          </w:tcPr>
          <w:p>
            <w:pPr>
              <w:ind w:left="120"/>
              <w:spacing w:after="0"/>
              <w:rPr>
                <w:sz w:val="20"/>
                <w:szCs w:val="20"/>
                <w:color w:val="auto"/>
              </w:rPr>
            </w:pPr>
            <w:r>
              <w:rPr>
                <w:rFonts w:ascii="Arial" w:cs="Arial" w:eastAsia="Arial" w:hAnsi="Arial"/>
                <w:sz w:val="18"/>
                <w:szCs w:val="18"/>
                <w:color w:val="auto"/>
              </w:rPr>
              <w:t>sole power to dispose or to direct the disposition of:</w:t>
            </w:r>
          </w:p>
        </w:tc>
        <w:tc>
          <w:tcPr>
            <w:tcW w:w="100" w:type="dxa"/>
            <w:vAlign w:val="bottom"/>
          </w:tcPr>
          <w:p>
            <w:pPr>
              <w:spacing w:after="0"/>
              <w:rPr>
                <w:sz w:val="24"/>
                <w:szCs w:val="24"/>
                <w:color w:val="auto"/>
              </w:rPr>
            </w:pPr>
          </w:p>
        </w:tc>
        <w:tc>
          <w:tcPr>
            <w:tcW w:w="540" w:type="dxa"/>
            <w:vAlign w:val="bottom"/>
            <w:tcBorders>
              <w:bottom w:val="single" w:sz="8" w:color="auto"/>
            </w:tcBorders>
            <w:gridSpan w:val="2"/>
          </w:tcPr>
          <w:p>
            <w:pPr>
              <w:jc w:val="right"/>
              <w:ind w:right="180"/>
              <w:spacing w:after="0"/>
              <w:rPr>
                <w:sz w:val="20"/>
                <w:szCs w:val="20"/>
                <w:color w:val="auto"/>
              </w:rPr>
            </w:pPr>
            <w:r>
              <w:rPr>
                <w:rFonts w:ascii="Arial" w:cs="Arial" w:eastAsia="Arial" w:hAnsi="Arial"/>
                <w:sz w:val="18"/>
                <w:szCs w:val="18"/>
                <w:color w:val="auto"/>
              </w:rPr>
              <w:t>0</w:t>
            </w:r>
          </w:p>
        </w:tc>
        <w:tc>
          <w:tcPr>
            <w:tcW w:w="520" w:type="dxa"/>
            <w:vAlign w:val="bottom"/>
          </w:tcPr>
          <w:p>
            <w:pPr>
              <w:spacing w:after="0"/>
              <w:rPr>
                <w:sz w:val="24"/>
                <w:szCs w:val="24"/>
                <w:color w:val="auto"/>
              </w:rPr>
            </w:pPr>
          </w:p>
        </w:tc>
      </w:tr>
      <w:tr>
        <w:trPr>
          <w:trHeight w:val="412"/>
        </w:trPr>
        <w:tc>
          <w:tcPr>
            <w:tcW w:w="380" w:type="dxa"/>
            <w:vAlign w:val="bottom"/>
          </w:tcPr>
          <w:p>
            <w:pPr>
              <w:spacing w:after="0"/>
              <w:rPr>
                <w:sz w:val="20"/>
                <w:szCs w:val="20"/>
                <w:color w:val="auto"/>
              </w:rPr>
            </w:pPr>
            <w:r>
              <w:rPr>
                <w:rFonts w:ascii="Arial" w:cs="Arial" w:eastAsia="Arial" w:hAnsi="Arial"/>
                <w:sz w:val="18"/>
                <w:szCs w:val="18"/>
                <w:color w:val="auto"/>
              </w:rPr>
              <w:t>(iv)</w:t>
            </w:r>
          </w:p>
        </w:tc>
        <w:tc>
          <w:tcPr>
            <w:tcW w:w="4440" w:type="dxa"/>
            <w:vAlign w:val="bottom"/>
            <w:gridSpan w:val="4"/>
          </w:tcPr>
          <w:p>
            <w:pPr>
              <w:ind w:left="120"/>
              <w:spacing w:after="0"/>
              <w:rPr>
                <w:sz w:val="20"/>
                <w:szCs w:val="20"/>
                <w:color w:val="auto"/>
              </w:rPr>
            </w:pPr>
            <w:r>
              <w:rPr>
                <w:rFonts w:ascii="Arial" w:cs="Arial" w:eastAsia="Arial" w:hAnsi="Arial"/>
                <w:sz w:val="18"/>
                <w:szCs w:val="18"/>
                <w:color w:val="auto"/>
                <w:w w:val="99"/>
              </w:rPr>
              <w:t>shared power to dispose or to direct the disposition of:</w:t>
            </w:r>
          </w:p>
        </w:tc>
        <w:tc>
          <w:tcPr>
            <w:tcW w:w="1160" w:type="dxa"/>
            <w:vAlign w:val="bottom"/>
            <w:tcBorders>
              <w:bottom w:val="single" w:sz="8" w:color="auto"/>
            </w:tcBorders>
            <w:gridSpan w:val="4"/>
          </w:tcPr>
          <w:p>
            <w:pPr>
              <w:spacing w:after="0"/>
              <w:rPr>
                <w:sz w:val="20"/>
                <w:szCs w:val="20"/>
                <w:color w:val="auto"/>
              </w:rPr>
            </w:pPr>
            <w:r>
              <w:rPr>
                <w:rFonts w:ascii="Arial" w:cs="Arial" w:eastAsia="Arial" w:hAnsi="Arial"/>
                <w:sz w:val="18"/>
                <w:szCs w:val="18"/>
                <w:color w:val="auto"/>
                <w:w w:val="91"/>
              </w:rPr>
              <w:t>4,916,428 ORD</w:t>
            </w:r>
          </w:p>
        </w:tc>
      </w:tr>
    </w:tbl>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5.</w:t>
      </w:r>
      <w:r>
        <w:rPr>
          <w:sz w:val="20"/>
          <w:szCs w:val="20"/>
          <w:color w:val="auto"/>
        </w:rPr>
        <w:tab/>
      </w:r>
      <w:r>
        <w:rPr>
          <w:rFonts w:ascii="Arial" w:cs="Arial" w:eastAsia="Arial" w:hAnsi="Arial"/>
          <w:sz w:val="16"/>
          <w:szCs w:val="16"/>
          <w:color w:val="auto"/>
        </w:rPr>
        <w:t>Ownership of Five Percent or Less of a Class.</w:t>
      </w:r>
    </w:p>
    <w:p>
      <w:pPr>
        <w:spacing w:after="0" w:line="225" w:lineRule="exact"/>
        <w:rPr>
          <w:sz w:val="20"/>
          <w:szCs w:val="20"/>
          <w:color w:val="auto"/>
        </w:rPr>
      </w:pPr>
    </w:p>
    <w:p>
      <w:pPr>
        <w:ind w:left="980" w:right="6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p>
    <w:p>
      <w:pPr>
        <w:spacing w:after="0" w:line="17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446405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90" w:right="239" w:bottom="1440" w:gutter="0" w:footer="0" w:header="0"/>
        </w:sectPr>
      </w:pPr>
    </w:p>
    <w:bookmarkStart w:id="7" w:name="page8"/>
    <w:bookmarkEnd w:id="7"/>
    <w:p>
      <w:pPr>
        <w:ind w:left="10520"/>
        <w:spacing w:after="0"/>
        <w:rPr>
          <w:sz w:val="20"/>
          <w:szCs w:val="20"/>
          <w:color w:val="auto"/>
        </w:rPr>
      </w:pPr>
      <w:r>
        <w:rPr>
          <w:rFonts w:ascii="Arial" w:cs="Arial" w:eastAsia="Arial" w:hAnsi="Arial"/>
          <w:sz w:val="15"/>
          <w:szCs w:val="15"/>
          <w:color w:val="auto"/>
        </w:rPr>
        <w:t>Page 8 of 12</w:t>
      </w:r>
    </w:p>
    <w:p>
      <w:pPr>
        <w:spacing w:after="0" w:line="26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3" w:lineRule="exact"/>
        <w:rPr>
          <w:sz w:val="20"/>
          <w:szCs w:val="20"/>
          <w:color w:val="auto"/>
        </w:rPr>
      </w:pPr>
    </w:p>
    <w:p>
      <w:pPr>
        <w:ind w:left="438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3" w:lineRule="exact"/>
        <w:rPr>
          <w:sz w:val="20"/>
          <w:szCs w:val="20"/>
          <w:color w:val="auto"/>
        </w:rPr>
      </w:pPr>
    </w:p>
    <w:p>
      <w:pPr>
        <w:ind w:left="4380"/>
        <w:spacing w:after="0"/>
        <w:rPr>
          <w:sz w:val="20"/>
          <w:szCs w:val="20"/>
          <w:color w:val="auto"/>
        </w:rPr>
      </w:pPr>
      <w:r>
        <w:rPr>
          <w:rFonts w:ascii="Arial" w:cs="Arial" w:eastAsia="Arial" w:hAnsi="Arial"/>
          <w:sz w:val="18"/>
          <w:szCs w:val="18"/>
          <w:b w:val="1"/>
          <w:bCs w:val="1"/>
          <w:color w:val="auto"/>
        </w:rPr>
        <w:t>See Exhibit 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3" w:lineRule="exact"/>
        <w:rPr>
          <w:sz w:val="20"/>
          <w:szCs w:val="20"/>
          <w:color w:val="auto"/>
        </w:rPr>
      </w:pPr>
    </w:p>
    <w:p>
      <w:pPr>
        <w:ind w:left="438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500" w:hanging="520"/>
        <w:spacing w:after="0"/>
        <w:tabs>
          <w:tab w:leader="none" w:pos="15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sz w:val="20"/>
          <w:szCs w:val="20"/>
          <w:color w:val="auto"/>
        </w:rPr>
      </w:pPr>
    </w:p>
    <w:p>
      <w:pPr>
        <w:ind w:left="1500" w:right="280"/>
        <w:spacing w:after="0" w:line="259" w:lineRule="auto"/>
        <w:rPr>
          <w:sz w:val="20"/>
          <w:szCs w:val="20"/>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After reasonable inquiry and to the best of my knowledge and belief, I certify that the information set forth in this statement is true, complete and correct.</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Date: January 7, 2020</w:t>
      </w:r>
    </w:p>
    <w:p>
      <w:pPr>
        <w:spacing w:after="0" w:line="23" w:lineRule="exact"/>
        <w:rPr>
          <w:sz w:val="20"/>
          <w:szCs w:val="20"/>
          <w:color w:val="auto"/>
        </w:rPr>
      </w:pPr>
    </w:p>
    <w:p>
      <w:pPr>
        <w:ind w:left="5820"/>
        <w:spacing w:after="0"/>
        <w:rPr>
          <w:sz w:val="20"/>
          <w:szCs w:val="20"/>
          <w:color w:val="auto"/>
        </w:rPr>
      </w:pPr>
      <w:r>
        <w:rPr>
          <w:rFonts w:ascii="Arial" w:cs="Arial" w:eastAsia="Arial" w:hAnsi="Arial"/>
          <w:sz w:val="18"/>
          <w:szCs w:val="18"/>
          <w:color w:val="auto"/>
        </w:rPr>
        <w:t>BRANDES INVESTMENT PARTNERS, L.P.</w:t>
      </w:r>
    </w:p>
    <w:p>
      <w:pPr>
        <w:spacing w:after="0" w:line="211" w:lineRule="exact"/>
        <w:rPr>
          <w:sz w:val="20"/>
          <w:szCs w:val="20"/>
          <w:color w:val="auto"/>
        </w:rPr>
      </w:pPr>
    </w:p>
    <w:p>
      <w:pPr>
        <w:ind w:left="5820"/>
        <w:spacing w:after="0"/>
        <w:rPr>
          <w:sz w:val="20"/>
          <w:szCs w:val="20"/>
          <w:color w:val="auto"/>
        </w:rPr>
      </w:pPr>
      <w:r>
        <w:rPr>
          <w:rFonts w:ascii="Arial" w:cs="Arial" w:eastAsia="Arial" w:hAnsi="Arial"/>
          <w:sz w:val="18"/>
          <w:szCs w:val="18"/>
          <w:color w:val="auto"/>
        </w:rPr>
        <w:t>By: /s/ Ian Rose</w:t>
      </w:r>
    </w:p>
    <w:p>
      <w:pPr>
        <w:spacing w:after="0" w:line="2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Ian Rose as Attorney-In-Fact for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3924300</wp:posOffset>
            </wp:positionH>
            <wp:positionV relativeFrom="paragraph">
              <wp:posOffset>-130810</wp:posOffset>
            </wp:positionV>
            <wp:extent cx="332740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3327400" cy="8890"/>
                    </a:xfrm>
                    <a:prstGeom prst="rect">
                      <a:avLst/>
                    </a:prstGeom>
                    <a:noFill/>
                  </pic:spPr>
                </pic:pic>
              </a:graphicData>
            </a:graphic>
          </wp:anchor>
        </w:drawing>
      </w:r>
    </w:p>
    <w:p>
      <w:pPr>
        <w:spacing w:after="0" w:line="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Glenn Carlson, General Partner</w:t>
      </w:r>
    </w:p>
    <w:p>
      <w:pPr>
        <w:spacing w:after="0" w:line="9"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Co-GP, LLC its General Partner</w:t>
      </w:r>
    </w:p>
    <w:p>
      <w:pPr>
        <w:spacing w:after="0" w:line="211" w:lineRule="exact"/>
        <w:rPr>
          <w:sz w:val="20"/>
          <w:szCs w:val="20"/>
          <w:color w:val="auto"/>
        </w:rPr>
      </w:pPr>
    </w:p>
    <w:p>
      <w:pPr>
        <w:ind w:left="5820"/>
        <w:spacing w:after="0"/>
        <w:rPr>
          <w:sz w:val="20"/>
          <w:szCs w:val="20"/>
          <w:color w:val="auto"/>
        </w:rPr>
      </w:pPr>
      <w:r>
        <w:rPr>
          <w:rFonts w:ascii="Arial" w:cs="Arial" w:eastAsia="Arial" w:hAnsi="Arial"/>
          <w:sz w:val="18"/>
          <w:szCs w:val="18"/>
          <w:color w:val="auto"/>
        </w:rPr>
        <w:t>BRANDES INVESTMENT PARTNERS, INC.</w:t>
      </w:r>
    </w:p>
    <w:p>
      <w:pPr>
        <w:spacing w:after="0" w:line="225" w:lineRule="exact"/>
        <w:rPr>
          <w:sz w:val="20"/>
          <w:szCs w:val="20"/>
          <w:color w:val="auto"/>
        </w:rPr>
      </w:pPr>
    </w:p>
    <w:p>
      <w:pPr>
        <w:ind w:left="5820"/>
        <w:spacing w:after="0"/>
        <w:rPr>
          <w:sz w:val="20"/>
          <w:szCs w:val="20"/>
          <w:color w:val="auto"/>
        </w:rPr>
      </w:pPr>
      <w:r>
        <w:rPr>
          <w:rFonts w:ascii="Arial" w:cs="Arial" w:eastAsia="Arial" w:hAnsi="Arial"/>
          <w:sz w:val="18"/>
          <w:szCs w:val="18"/>
          <w:color w:val="auto"/>
        </w:rPr>
        <w:t>By: /s/ Ian Rose</w:t>
      </w:r>
    </w:p>
    <w:p>
      <w:pPr>
        <w:spacing w:after="0" w:line="2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Ian Rose as Attorney-In-Fact for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3924300</wp:posOffset>
            </wp:positionH>
            <wp:positionV relativeFrom="paragraph">
              <wp:posOffset>-130810</wp:posOffset>
            </wp:positionV>
            <wp:extent cx="332740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3327400" cy="8890"/>
                    </a:xfrm>
                    <a:prstGeom prst="rect">
                      <a:avLst/>
                    </a:prstGeom>
                    <a:noFill/>
                  </pic:spPr>
                </pic:pic>
              </a:graphicData>
            </a:graphic>
          </wp:anchor>
        </w:drawing>
      </w:r>
    </w:p>
    <w:p>
      <w:pPr>
        <w:spacing w:after="0" w:line="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Glenn Carlson, General Partner</w:t>
      </w:r>
    </w:p>
    <w:p>
      <w:pPr>
        <w:spacing w:after="0" w:line="211" w:lineRule="exact"/>
        <w:rPr>
          <w:sz w:val="20"/>
          <w:szCs w:val="20"/>
          <w:color w:val="auto"/>
        </w:rPr>
      </w:pPr>
    </w:p>
    <w:p>
      <w:pPr>
        <w:ind w:left="5820"/>
        <w:spacing w:after="0"/>
        <w:rPr>
          <w:sz w:val="20"/>
          <w:szCs w:val="20"/>
          <w:color w:val="auto"/>
        </w:rPr>
      </w:pPr>
      <w:r>
        <w:rPr>
          <w:rFonts w:ascii="Arial" w:cs="Arial" w:eastAsia="Arial" w:hAnsi="Arial"/>
          <w:sz w:val="18"/>
          <w:szCs w:val="18"/>
          <w:color w:val="auto"/>
        </w:rPr>
        <w:t>BRANDES WORLDWIDE HOLDINGS, L.P.</w:t>
      </w:r>
    </w:p>
    <w:p>
      <w:pPr>
        <w:spacing w:after="0" w:line="225" w:lineRule="exact"/>
        <w:rPr>
          <w:sz w:val="20"/>
          <w:szCs w:val="20"/>
          <w:color w:val="auto"/>
        </w:rPr>
      </w:pPr>
    </w:p>
    <w:p>
      <w:pPr>
        <w:ind w:left="5820"/>
        <w:spacing w:after="0"/>
        <w:rPr>
          <w:sz w:val="20"/>
          <w:szCs w:val="20"/>
          <w:color w:val="auto"/>
        </w:rPr>
      </w:pPr>
      <w:r>
        <w:rPr>
          <w:rFonts w:ascii="Arial" w:cs="Arial" w:eastAsia="Arial" w:hAnsi="Arial"/>
          <w:sz w:val="18"/>
          <w:szCs w:val="18"/>
          <w:color w:val="auto"/>
        </w:rPr>
        <w:t>By: /s/ Ian Rose</w:t>
      </w:r>
    </w:p>
    <w:p>
      <w:pPr>
        <w:spacing w:after="0" w:line="2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Ian Rose as Attorney-In-Fact for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3924300</wp:posOffset>
            </wp:positionH>
            <wp:positionV relativeFrom="paragraph">
              <wp:posOffset>-130810</wp:posOffset>
            </wp:positionV>
            <wp:extent cx="332740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3327400" cy="8890"/>
                    </a:xfrm>
                    <a:prstGeom prst="rect">
                      <a:avLst/>
                    </a:prstGeom>
                    <a:noFill/>
                  </pic:spPr>
                </pic:pic>
              </a:graphicData>
            </a:graphic>
          </wp:anchor>
        </w:drawing>
      </w:r>
    </w:p>
    <w:p>
      <w:pPr>
        <w:spacing w:after="0" w:line="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Glenn Carlson,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76" w:right="2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Identification and Classification of Members of the Group</w:t>
      </w:r>
    </w:p>
    <w:p>
      <w:pPr>
        <w:spacing w:after="0" w:line="229" w:lineRule="exact"/>
        <w:rPr>
          <w:sz w:val="20"/>
          <w:szCs w:val="20"/>
          <w:color w:val="auto"/>
        </w:rPr>
      </w:pPr>
    </w:p>
    <w:p>
      <w:pPr>
        <w:ind w:right="200"/>
        <w:spacing w:after="0" w:line="277" w:lineRule="auto"/>
        <w:rPr>
          <w:sz w:val="20"/>
          <w:szCs w:val="20"/>
          <w:color w:val="auto"/>
        </w:rPr>
      </w:pPr>
      <w:r>
        <w:rPr>
          <w:rFonts w:ascii="Arial" w:cs="Arial" w:eastAsia="Arial" w:hAnsi="Arial"/>
          <w:sz w:val="18"/>
          <w:szCs w:val="18"/>
          <w:color w:val="auto"/>
        </w:rPr>
        <w:t>Pursuant to Rule 13d-1(b)(ii)(J) and Rule 13d-1(k)(1) under the Securities and Exchange Act of 1934, the members of the group making this joint filing are identified and classified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640" w:type="dxa"/>
            <w:vAlign w:val="bottom"/>
          </w:tcPr>
          <w:p>
            <w:pPr>
              <w:spacing w:after="0"/>
              <w:rPr>
                <w:sz w:val="17"/>
                <w:szCs w:val="17"/>
                <w:color w:val="auto"/>
              </w:rPr>
            </w:pPr>
          </w:p>
        </w:tc>
        <w:tc>
          <w:tcPr>
            <w:tcW w:w="244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6340" w:type="dxa"/>
            <w:vAlign w:val="bottom"/>
            <w:gridSpan w:val="3"/>
          </w:tcPr>
          <w:p>
            <w:pPr>
              <w:ind w:left="2980"/>
              <w:spacing w:after="0"/>
              <w:rPr>
                <w:sz w:val="20"/>
                <w:szCs w:val="20"/>
                <w:color w:val="auto"/>
              </w:rPr>
            </w:pPr>
            <w:r>
              <w:rPr>
                <w:rFonts w:ascii="Arial" w:cs="Arial" w:eastAsia="Arial" w:hAnsi="Arial"/>
                <w:sz w:val="18"/>
                <w:szCs w:val="18"/>
                <w:b w:val="1"/>
                <w:bCs w:val="1"/>
                <w:color w:val="auto"/>
              </w:rPr>
              <w:t>Classification</w:t>
            </w:r>
          </w:p>
        </w:tc>
      </w:tr>
      <w:tr>
        <w:trPr>
          <w:trHeight w:val="20"/>
        </w:trPr>
        <w:tc>
          <w:tcPr>
            <w:tcW w:w="264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r>
      <w:tr>
        <w:trPr>
          <w:trHeight w:val="291"/>
        </w:trPr>
        <w:tc>
          <w:tcPr>
            <w:tcW w:w="5080" w:type="dxa"/>
            <w:vAlign w:val="bottom"/>
            <w:gridSpan w:val="3"/>
          </w:tcPr>
          <w:p>
            <w:pPr>
              <w:spacing w:after="0"/>
              <w:rPr>
                <w:sz w:val="20"/>
                <w:szCs w:val="20"/>
                <w:color w:val="auto"/>
              </w:rPr>
            </w:pPr>
            <w:r>
              <w:rPr>
                <w:rFonts w:ascii="Arial" w:cs="Arial" w:eastAsia="Arial" w:hAnsi="Arial"/>
                <w:sz w:val="18"/>
                <w:szCs w:val="18"/>
                <w:color w:val="auto"/>
              </w:rPr>
              <w:t>Brandes Investment Partners, L.P. (the “Investment Adviser”)</w:t>
            </w:r>
          </w:p>
        </w:tc>
        <w:tc>
          <w:tcPr>
            <w:tcW w:w="6340" w:type="dxa"/>
            <w:vAlign w:val="bottom"/>
            <w:gridSpan w:val="3"/>
          </w:tcPr>
          <w:p>
            <w:pPr>
              <w:ind w:left="640"/>
              <w:spacing w:after="0"/>
              <w:rPr>
                <w:sz w:val="20"/>
                <w:szCs w:val="20"/>
                <w:color w:val="auto"/>
              </w:rPr>
            </w:pPr>
            <w:r>
              <w:rPr>
                <w:rFonts w:ascii="Arial" w:cs="Arial" w:eastAsia="Arial" w:hAnsi="Arial"/>
                <w:sz w:val="18"/>
                <w:szCs w:val="18"/>
                <w:color w:val="auto"/>
              </w:rPr>
              <w:t>Investment adviser registered under Investment Advisers Act of 1940</w:t>
            </w:r>
          </w:p>
        </w:tc>
      </w:tr>
      <w:tr>
        <w:trPr>
          <w:trHeight w:val="270"/>
        </w:trPr>
        <w:tc>
          <w:tcPr>
            <w:tcW w:w="5080" w:type="dxa"/>
            <w:vAlign w:val="bottom"/>
            <w:gridSpan w:val="3"/>
          </w:tcPr>
          <w:p>
            <w:pPr>
              <w:spacing w:after="0"/>
              <w:rPr>
                <w:sz w:val="20"/>
                <w:szCs w:val="20"/>
                <w:color w:val="auto"/>
              </w:rPr>
            </w:pPr>
            <w:r>
              <w:rPr>
                <w:rFonts w:ascii="Arial" w:cs="Arial" w:eastAsia="Arial" w:hAnsi="Arial"/>
                <w:sz w:val="18"/>
                <w:szCs w:val="18"/>
                <w:color w:val="auto"/>
              </w:rPr>
              <w:t>Co-GP, LLC</w:t>
            </w:r>
          </w:p>
        </w:tc>
        <w:tc>
          <w:tcPr>
            <w:tcW w:w="6340" w:type="dxa"/>
            <w:vAlign w:val="bottom"/>
            <w:gridSpan w:val="3"/>
          </w:tcPr>
          <w:p>
            <w:pPr>
              <w:ind w:left="640"/>
              <w:spacing w:after="0"/>
              <w:rPr>
                <w:sz w:val="20"/>
                <w:szCs w:val="20"/>
                <w:color w:val="auto"/>
              </w:rPr>
            </w:pPr>
            <w:r>
              <w:rPr>
                <w:rFonts w:ascii="Arial" w:cs="Arial" w:eastAsia="Arial" w:hAnsi="Arial"/>
                <w:sz w:val="18"/>
                <w:szCs w:val="18"/>
                <w:color w:val="auto"/>
              </w:rPr>
              <w:t>A control person of the Investment Adviser</w:t>
            </w:r>
          </w:p>
        </w:tc>
      </w:tr>
      <w:tr>
        <w:trPr>
          <w:trHeight w:val="270"/>
        </w:trPr>
        <w:tc>
          <w:tcPr>
            <w:tcW w:w="5080" w:type="dxa"/>
            <w:vAlign w:val="bottom"/>
            <w:gridSpan w:val="3"/>
          </w:tcPr>
          <w:p>
            <w:pPr>
              <w:spacing w:after="0"/>
              <w:rPr>
                <w:sz w:val="20"/>
                <w:szCs w:val="20"/>
                <w:color w:val="auto"/>
              </w:rPr>
            </w:pPr>
            <w:r>
              <w:rPr>
                <w:rFonts w:ascii="Arial" w:cs="Arial" w:eastAsia="Arial" w:hAnsi="Arial"/>
                <w:sz w:val="18"/>
                <w:szCs w:val="18"/>
                <w:color w:val="auto"/>
              </w:rPr>
              <w:t>Brandes Worldwide Holdings, L.P.</w:t>
            </w:r>
          </w:p>
        </w:tc>
        <w:tc>
          <w:tcPr>
            <w:tcW w:w="6340" w:type="dxa"/>
            <w:vAlign w:val="bottom"/>
            <w:gridSpan w:val="3"/>
          </w:tcPr>
          <w:p>
            <w:pPr>
              <w:ind w:left="640"/>
              <w:spacing w:after="0"/>
              <w:rPr>
                <w:sz w:val="20"/>
                <w:szCs w:val="20"/>
                <w:color w:val="auto"/>
              </w:rPr>
            </w:pPr>
            <w:r>
              <w:rPr>
                <w:rFonts w:ascii="Arial" w:cs="Arial" w:eastAsia="Arial" w:hAnsi="Arial"/>
                <w:sz w:val="18"/>
                <w:szCs w:val="18"/>
                <w:color w:val="auto"/>
              </w:rPr>
              <w:t>A control person of the Investment Adviser</w:t>
            </w:r>
          </w:p>
        </w:tc>
      </w:tr>
      <w:tr>
        <w:trPr>
          <w:trHeight w:val="270"/>
        </w:trPr>
        <w:tc>
          <w:tcPr>
            <w:tcW w:w="5080" w:type="dxa"/>
            <w:vAlign w:val="bottom"/>
            <w:gridSpan w:val="3"/>
          </w:tcPr>
          <w:p>
            <w:pPr>
              <w:spacing w:after="0"/>
              <w:rPr>
                <w:sz w:val="20"/>
                <w:szCs w:val="20"/>
                <w:color w:val="auto"/>
              </w:rPr>
            </w:pPr>
            <w:r>
              <w:rPr>
                <w:rFonts w:ascii="Arial" w:cs="Arial" w:eastAsia="Arial" w:hAnsi="Arial"/>
                <w:sz w:val="18"/>
                <w:szCs w:val="18"/>
                <w:color w:val="auto"/>
              </w:rPr>
              <w:t>Glenn Carlson</w:t>
            </w:r>
          </w:p>
        </w:tc>
        <w:tc>
          <w:tcPr>
            <w:tcW w:w="6340" w:type="dxa"/>
            <w:vAlign w:val="bottom"/>
            <w:gridSpan w:val="3"/>
          </w:tcPr>
          <w:p>
            <w:pPr>
              <w:ind w:left="640"/>
              <w:spacing w:after="0"/>
              <w:rPr>
                <w:sz w:val="20"/>
                <w:szCs w:val="20"/>
                <w:color w:val="auto"/>
              </w:rPr>
            </w:pPr>
            <w:r>
              <w:rPr>
                <w:rFonts w:ascii="Arial" w:cs="Arial" w:eastAsia="Arial" w:hAnsi="Arial"/>
                <w:sz w:val="18"/>
                <w:szCs w:val="18"/>
                <w:color w:val="auto"/>
              </w:rPr>
              <w:t>A control person of the Investment Adviser</w:t>
            </w:r>
          </w:p>
        </w:tc>
      </w:tr>
      <w:tr>
        <w:trPr>
          <w:trHeight w:val="702"/>
        </w:trPr>
        <w:tc>
          <w:tcPr>
            <w:tcW w:w="26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00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490" w:right="239"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color w:val="auto"/>
        </w:rPr>
        <w:t>Page 10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B</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Joint Filing Agreement Pursuant to Rule 13d-1</w:t>
      </w:r>
    </w:p>
    <w:p>
      <w:pPr>
        <w:spacing w:after="0" w:line="229" w:lineRule="exact"/>
        <w:rPr>
          <w:sz w:val="20"/>
          <w:szCs w:val="20"/>
          <w:color w:val="auto"/>
        </w:rPr>
      </w:pPr>
    </w:p>
    <w:p>
      <w:pPr>
        <w:spacing w:after="0" w:line="302" w:lineRule="auto"/>
        <w:rPr>
          <w:sz w:val="20"/>
          <w:szCs w:val="20"/>
          <w:color w:val="auto"/>
        </w:rPr>
      </w:pPr>
      <w:r>
        <w:rPr>
          <w:rFonts w:ascii="Arial" w:cs="Arial" w:eastAsia="Arial" w:hAnsi="Arial"/>
          <w:sz w:val="16"/>
          <w:szCs w:val="16"/>
          <w:color w:val="auto"/>
        </w:rPr>
        <w:t>This agreement is made pursuant to Rule 13d-1(b)(ii)(J) and Rule 13d-1(k)(1) under the Securities and Exchange Act of 1934 (the “Act”) by and among the parties listed below, each referred to herein as a “Joint Filer.” The Joint Filers agree that a statement of beneficial ownership as required by Sections 13(g) or 13(d) of the Act and the Rules thereunder may be filed on each of their behalf on Schedule 13G or Schedule 13D, as appropriate, and that said joint filing may thereafter be amended by further joint filings. The Joint Filers state that they each satisfy the requirements for making a joint filing under Rule 13d-1.</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Dated: January 7, 2020</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Glenn Carlson</w:t>
      </w:r>
    </w:p>
    <w:p>
      <w:pPr>
        <w:spacing w:after="0" w:line="2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Glenn Carlson, General Partner of Co-GP, LLC.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-130810</wp:posOffset>
            </wp:positionV>
            <wp:extent cx="340487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3404870" cy="8890"/>
                    </a:xfrm>
                    <a:prstGeom prst="rect">
                      <a:avLst/>
                    </a:prstGeom>
                    <a:noFill/>
                  </pic:spPr>
                </pic:pic>
              </a:graphicData>
            </a:graphic>
          </wp:anchor>
        </w:drawing>
      </w:r>
    </w:p>
    <w:p>
      <w:pPr>
        <w:spacing w:after="0" w:line="204"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Co-GP, LLC.</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Glenn Carlson</w:t>
      </w:r>
    </w:p>
    <w:p>
      <w:pPr>
        <w:spacing w:after="0" w:line="2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Glenn Carlson, General Partner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-130810</wp:posOffset>
            </wp:positionV>
            <wp:extent cx="340487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340487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90" w:right="239" w:bottom="1440" w:gutter="0" w:footer="0" w:header="0"/>
        </w:sectPr>
      </w:pPr>
    </w:p>
    <w:bookmarkStart w:id="10" w:name="page11"/>
    <w:bookmarkEnd w:id="10"/>
    <w:p>
      <w:pPr>
        <w:jc w:val="right"/>
        <w:spacing w:after="0"/>
        <w:rPr>
          <w:sz w:val="20"/>
          <w:szCs w:val="20"/>
          <w:color w:val="auto"/>
        </w:rPr>
      </w:pPr>
      <w:r>
        <w:rPr>
          <w:rFonts w:ascii="Arial" w:cs="Arial" w:eastAsia="Arial" w:hAnsi="Arial"/>
          <w:sz w:val="18"/>
          <w:szCs w:val="18"/>
          <w:color w:val="auto"/>
        </w:rPr>
        <w:t>Page 11 of 12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C</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Power of Attorney for Schedules 13D, 13G and Form 13F</w:t>
      </w:r>
    </w:p>
    <w:p>
      <w:pPr>
        <w:spacing w:after="0" w:line="229" w:lineRule="exact"/>
        <w:rPr>
          <w:sz w:val="20"/>
          <w:szCs w:val="20"/>
          <w:color w:val="auto"/>
        </w:rPr>
      </w:pPr>
    </w:p>
    <w:p>
      <w:pPr>
        <w:spacing w:after="0" w:line="290" w:lineRule="auto"/>
        <w:rPr>
          <w:sz w:val="20"/>
          <w:szCs w:val="20"/>
          <w:color w:val="auto"/>
        </w:rPr>
      </w:pPr>
      <w:r>
        <w:rPr>
          <w:rFonts w:ascii="Arial" w:cs="Arial" w:eastAsia="Arial" w:hAnsi="Arial"/>
          <w:sz w:val="16"/>
          <w:szCs w:val="16"/>
          <w:color w:val="auto"/>
        </w:rPr>
        <w:t>I, Glenn Carlson, as member of Co-GP of LLC., which is a General Partner of Brandes Worldwide Holdings, L.P., and which is also the limited partner of Brandes Investment Partners, L.P., hereby appoint Ian N. Rose as attorney-in-fact and agent, in all capacities, to execute, on my behalf and on behalf of of Co-GP LLC., Brandes Investment Partners, L.P., and Brandes Worldwide Holdings, L.P., to file with the appropriate issuers, exchanges and regulatory authorities, any and all Schedules 13D, 13G and Form 13F and documents relating thereto required to be filed under the Securities and Exchange Act of 1934, including exhibits, attachments and amendments thereto and request for confidential treatment of information contained therein in connection with my being a “control person” (as contemplated for purposes of Schedule 13D, 13G and Form 13F) of Brandes Investment Partners, L.P., its subsidiaries and affiliates. I hereby grant to said attorneys-in-fact full authority to do every act necessary to be done in order to effectuate the same as fully, to all intents and purposes, as I could if personally present, thereby ratifying all that said attorneys-in-fact and agents may lawfully do or cause to be done by virtue hereof.</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I hereby execute this Power of Attorney as of this 7th day of January 2020.</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/s/Glenn Carlson</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3618865"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90" w:right="239" w:bottom="1440" w:gutter="0" w:footer="0" w:header="0"/>
        </w:sectPr>
      </w:pPr>
    </w:p>
    <w:bookmarkStart w:id="11" w:name="page12"/>
    <w:bookmarkEnd w:id="11"/>
    <w:p>
      <w:pPr>
        <w:jc w:val="right"/>
        <w:spacing w:after="0"/>
        <w:rPr>
          <w:sz w:val="20"/>
          <w:szCs w:val="20"/>
          <w:color w:val="auto"/>
        </w:rPr>
      </w:pPr>
      <w:r>
        <w:rPr>
          <w:rFonts w:ascii="Arial" w:cs="Arial" w:eastAsia="Arial" w:hAnsi="Arial"/>
          <w:sz w:val="18"/>
          <w:szCs w:val="18"/>
          <w:color w:val="auto"/>
        </w:rPr>
        <w:t>Page 12 of 12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Disclaimer of Beneficial Ownership</w:t>
      </w:r>
    </w:p>
    <w:p>
      <w:pPr>
        <w:spacing w:after="0" w:line="225" w:lineRule="exact"/>
        <w:rPr>
          <w:sz w:val="20"/>
          <w:szCs w:val="20"/>
          <w:color w:val="auto"/>
        </w:rPr>
      </w:pPr>
    </w:p>
    <w:p>
      <w:pPr>
        <w:ind w:right="180"/>
        <w:spacing w:after="0" w:line="264" w:lineRule="auto"/>
        <w:rPr>
          <w:sz w:val="20"/>
          <w:szCs w:val="20"/>
          <w:color w:val="auto"/>
        </w:rPr>
      </w:pPr>
      <w:r>
        <w:rPr>
          <w:rFonts w:ascii="Arial" w:cs="Arial" w:eastAsia="Arial" w:hAnsi="Arial"/>
          <w:sz w:val="18"/>
          <w:szCs w:val="18"/>
          <w:color w:val="auto"/>
        </w:rPr>
        <w:t>Co-GP, LLC, Brandes Worldwide Holdings, L.P., Glenn Carlson, and Jeff Busby disclaim beneficial interest as to the shares referenced above, except for an amount equal to substantially less than one percent of the shares reported on this Schedule 13D. None of these entities or individuals holds the above-referenced shares for its/his own account except on a de minimis basis.</w:t>
      </w:r>
    </w:p>
    <w:p>
      <w:pPr>
        <w:spacing w:after="0" w:line="181"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/s/Glenn Carlson</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3618865" cy="8890"/>
                    </a:xfrm>
                    <a:prstGeom prst="rect">
                      <a:avLst/>
                    </a:prstGeom>
                    <a:noFill/>
                  </pic:spPr>
                </pic:pic>
              </a:graphicData>
            </a:graphic>
          </wp:anchor>
        </w:drawing>
      </w:r>
    </w:p>
    <w:p>
      <w:pPr>
        <w:spacing w:after="0" w:line="204"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/s/Jeff Busby</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Jeff Busby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3618865"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49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15F007C"/>
    <w:multiLevelType w:val="hybridMultilevel"/>
    <w:lvl w:ilvl="0">
      <w:lvlJc w:val="left"/>
      <w:lvlText w:val="☒"/>
      <w:numFmt w:val="bullet"/>
      <w:start w:val="1"/>
    </w:lvl>
  </w:abstractNum>
  <w:abstractNum w:abstractNumId="1">
    <w:nsid w:val="5BD062C2"/>
    <w:multiLevelType w:val="hybridMultilevel"/>
    <w:lvl w:ilvl="0">
      <w:lvlJc w:val="left"/>
      <w:lvlText w:val="*"/>
      <w:numFmt w:val="bullet"/>
      <w:start w:val="1"/>
    </w:lvl>
    <w:lvl w:ilvl="1">
      <w:lvlJc w:val="left"/>
      <w:lvlText w:val="☐"/>
      <w:numFmt w:val="bullet"/>
      <w:start w:val="1"/>
    </w:lvl>
  </w:abstractNum>
  <w:abstractNum w:abstractNumId="2">
    <w:nsid w:val="12200854"/>
    <w:multiLevelType w:val="hybridMultilevel"/>
    <w:lvl w:ilvl="0">
      <w:lvlJc w:val="left"/>
      <w:lvlText w:val="%1."/>
      <w:numFmt w:val="decimal"/>
      <w:start w:val="2"/>
    </w:lvl>
    <w:lvl w:ilvl="1">
      <w:lvlJc w:val="left"/>
      <w:lvlText w:val="(%2)"/>
      <w:numFmt w:val="lowerLetter"/>
      <w:start w:val="1"/>
    </w:lvl>
  </w:abstractNum>
  <w:abstractNum w:abstractNumId="3">
    <w:nsid w:val="4DB127F8"/>
    <w:multiLevelType w:val="hybridMultilevel"/>
    <w:lvl w:ilvl="0">
      <w:lvlJc w:val="left"/>
      <w:lvlText w:val="%1."/>
      <w:numFmt w:val="decimal"/>
      <w:start w:val="10"/>
    </w:lvl>
  </w:abstractNum>
  <w:abstractNum w:abstractNumId="4">
    <w:nsid w:val="216231B"/>
    <w:multiLevelType w:val="hybridMultilevel"/>
    <w:lvl w:ilvl="0">
      <w:lvlJc w:val="left"/>
      <w:lvlText w:val="%1."/>
      <w:numFmt w:val="decimal"/>
      <w:start w:val="2"/>
    </w:lvl>
    <w:lvl w:ilvl="1">
      <w:lvlJc w:val="left"/>
      <w:lvlText w:val="(%2)"/>
      <w:numFmt w:val="lowerLetter"/>
      <w:start w:val="1"/>
    </w:lvl>
  </w:abstractNum>
  <w:abstractNum w:abstractNumId="5">
    <w:nsid w:val="1F16E9E8"/>
    <w:multiLevelType w:val="hybridMultilevel"/>
    <w:lvl w:ilvl="0">
      <w:lvlJc w:val="left"/>
      <w:lvlText w:val="%1."/>
      <w:numFmt w:val="decimal"/>
      <w:start w:val="10"/>
    </w:lvl>
  </w:abstractNum>
  <w:abstractNum w:abstractNumId="6">
    <w:nsid w:val="1190CDE7"/>
    <w:multiLevelType w:val="hybridMultilevel"/>
    <w:lvl w:ilvl="0">
      <w:lvlJc w:val="left"/>
      <w:lvlText w:val="%1."/>
      <w:numFmt w:val="decimal"/>
      <w:start w:val="2"/>
    </w:lvl>
    <w:lvl w:ilvl="1">
      <w:lvlJc w:val="left"/>
      <w:lvlText w:val="(%2)"/>
      <w:numFmt w:val="lowerLetter"/>
      <w:start w:val="1"/>
    </w:lvl>
  </w:abstractNum>
  <w:abstractNum w:abstractNumId="7">
    <w:nsid w:val="66EF438D"/>
    <w:multiLevelType w:val="hybridMultilevel"/>
    <w:lvl w:ilvl="0">
      <w:lvlJc w:val="left"/>
      <w:lvlText w:val="%1."/>
      <w:numFmt w:val="decimal"/>
      <w:start w:val="10"/>
    </w:lvl>
  </w:abstractNum>
  <w:abstractNum w:abstractNumId="8">
    <w:nsid w:val="140E0F76"/>
    <w:multiLevelType w:val="hybridMultilevel"/>
    <w:lvl w:ilvl="0">
      <w:lvlJc w:val="left"/>
      <w:lvlText w:val="%1."/>
      <w:numFmt w:val="decimal"/>
      <w:start w:val="2"/>
    </w:lvl>
    <w:lvl w:ilvl="1">
      <w:lvlJc w:val="left"/>
      <w:lvlText w:val="(%2)"/>
      <w:numFmt w:val="lowerLetter"/>
      <w:start w:val="1"/>
    </w:lvl>
  </w:abstractNum>
  <w:abstractNum w:abstractNumId="9">
    <w:nsid w:val="3352255A"/>
    <w:multiLevelType w:val="hybridMultilevel"/>
    <w:lvl w:ilvl="0">
      <w:lvlJc w:val="left"/>
      <w:lvlText w:val="%1."/>
      <w:numFmt w:val="decimal"/>
      <w:start w:val="10"/>
    </w:lvl>
  </w:abstractNum>
  <w:abstractNum w:abstractNumId="10">
    <w:nsid w:val="109CF92E"/>
    <w:multiLevelType w:val="hybridMultilevel"/>
    <w:lvl w:ilvl="0">
      <w:lvlJc w:val="left"/>
      <w:lvlText w:val="(%1)"/>
      <w:numFmt w:val="lowerRoman"/>
      <w:start w:val="1"/>
    </w:lvl>
  </w:abstractNum>
  <w:abstractNum w:abstractNumId="11">
    <w:nsid w:val="DED7263"/>
    <w:multiLevelType w:val="hybridMultilevel"/>
    <w:lvl w:ilvl="0">
      <w:lvlJc w:val="left"/>
      <w:lvlText w:val="(%1)"/>
      <w:numFmt w:val="lowerRoman"/>
      <w:start w:val="1"/>
    </w:lvl>
  </w:abstractNum>
  <w:abstractNum w:abstractNumId="12">
    <w:nsid w:val="7FDCC233"/>
    <w:multiLevelType w:val="hybridMultilevel"/>
    <w:lvl w:ilvl="0">
      <w:lvlJc w:val="left"/>
      <w:lvlText w:val="(%1)"/>
      <w:numFmt w:val="lowerRoman"/>
      <w:start w:val="1"/>
    </w:lvl>
  </w:abstractNum>
  <w:abstractNum w:abstractNumId="13">
    <w:nsid w:val="1BEFD79F"/>
    <w:multiLevelType w:val="hybridMultilevel"/>
    <w:lvl w:ilvl="0">
      <w:lvlJc w:val="left"/>
      <w:lvlText w:val="(%1)"/>
      <w:numFmt w:val="lowerLetter"/>
      <w:start w:val="1"/>
    </w:lvl>
  </w:abstractNum>
  <w:abstractNum w:abstractNumId="14">
    <w:nsid w:val="41A7C4C9"/>
    <w:multiLevelType w:val="hybridMultilevel"/>
    <w:lvl w:ilvl="0">
      <w:lvlJc w:val="left"/>
      <w:lvlText w:val="(%1)"/>
      <w:numFmt w:val="lowerLetter"/>
      <w:start w:val="3"/>
    </w:lvl>
  </w:abstractNum>
  <w:abstractNum w:abstractNumId="15">
    <w:nsid w:val="6B68079A"/>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2020-01-07T14:26:00Z</dcterms:created>
  <dcterms:modified xsi:type="dcterms:W3CDTF">2020-01-07T14:26:00Z</dcterms:modified>
</cp:coreProperties>
</file>